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仿宋"/>
          <w:color w:val="000000" w:themeColor="text1"/>
          <w:sz w:val="36"/>
          <w:szCs w:val="30"/>
          <w14:textFill>
            <w14:solidFill>
              <w14:schemeClr w14:val="tx1"/>
            </w14:solidFill>
          </w14:textFill>
        </w:rPr>
      </w:pPr>
      <w:r>
        <w:rPr>
          <w:rFonts w:hint="eastAsia" w:ascii="黑体" w:hAnsi="黑体" w:eastAsia="黑体" w:cs="黑体"/>
          <w:b w:val="0"/>
          <w:bCs/>
          <w:color w:val="000000" w:themeColor="text1"/>
          <w:sz w:val="32"/>
          <w:szCs w:val="30"/>
          <w14:textFill>
            <w14:solidFill>
              <w14:schemeClr w14:val="tx1"/>
            </w14:solidFill>
          </w14:textFill>
        </w:rPr>
        <w:t>附件</w:t>
      </w:r>
      <w:r>
        <w:rPr>
          <w:rFonts w:eastAsia="仿宋"/>
          <w:b/>
          <w:color w:val="000000" w:themeColor="text1"/>
          <w:sz w:val="40"/>
          <w:szCs w:val="30"/>
          <w14:textFill>
            <w14:solidFill>
              <w14:schemeClr w14:val="tx1"/>
            </w14:solidFill>
          </w14:textFill>
        </w:rPr>
        <w:t xml:space="preserve"> </w:t>
      </w:r>
      <w:r>
        <w:rPr>
          <w:rFonts w:eastAsia="仿宋"/>
          <w:color w:val="000000" w:themeColor="text1"/>
          <w:sz w:val="36"/>
          <w:szCs w:val="30"/>
          <w14:textFill>
            <w14:solidFill>
              <w14:schemeClr w14:val="tx1"/>
            </w14:solidFill>
          </w14:textFill>
        </w:rPr>
        <w:t xml:space="preserve">             </w:t>
      </w:r>
    </w:p>
    <w:p>
      <w:pPr>
        <w:adjustRightInd w:val="0"/>
        <w:snapToGrid w:val="0"/>
        <w:spacing w:after="156" w:afterLines="50" w:line="500" w:lineRule="exact"/>
        <w:jc w:val="center"/>
        <w:rPr>
          <w:rFonts w:eastAsia="黑体"/>
          <w:b/>
          <w:color w:val="000000" w:themeColor="text1"/>
          <w:sz w:val="36"/>
          <w:szCs w:val="30"/>
          <w14:textFill>
            <w14:solidFill>
              <w14:schemeClr w14:val="tx1"/>
            </w14:solidFill>
          </w14:textFill>
        </w:rPr>
      </w:pPr>
      <w:r>
        <w:rPr>
          <w:rFonts w:eastAsia="黑体"/>
          <w:b/>
          <w:color w:val="000000" w:themeColor="text1"/>
          <w:sz w:val="36"/>
          <w:szCs w:val="30"/>
          <w14:textFill>
            <w14:solidFill>
              <w14:schemeClr w14:val="tx1"/>
            </w14:solidFill>
          </w14:textFill>
        </w:rPr>
        <w:t>高等学校实验室安全检查项目表（2022</w:t>
      </w:r>
      <w:r>
        <w:rPr>
          <w:rFonts w:hint="eastAsia" w:eastAsia="黑体"/>
          <w:b/>
          <w:color w:val="000000" w:themeColor="text1"/>
          <w:sz w:val="36"/>
          <w:szCs w:val="30"/>
          <w:lang w:eastAsia="zh-CN"/>
          <w14:textFill>
            <w14:solidFill>
              <w14:schemeClr w14:val="tx1"/>
            </w14:solidFill>
          </w14:textFill>
        </w:rPr>
        <w:t>年</w:t>
      </w:r>
      <w:r>
        <w:rPr>
          <w:rFonts w:eastAsia="黑体"/>
          <w:b/>
          <w:color w:val="000000" w:themeColor="text1"/>
          <w:sz w:val="36"/>
          <w:szCs w:val="30"/>
          <w14:textFill>
            <w14:solidFill>
              <w14:schemeClr w14:val="tx1"/>
            </w14:solidFill>
          </w14:textFill>
        </w:rPr>
        <w:t>）</w:t>
      </w:r>
    </w:p>
    <w:p>
      <w:pPr>
        <w:adjustRightInd w:val="0"/>
        <w:snapToGrid w:val="0"/>
        <w:spacing w:after="156" w:afterLines="50" w:line="500" w:lineRule="exact"/>
        <w:jc w:val="center"/>
        <w:rPr>
          <w:rFonts w:eastAsia="黑体"/>
          <w:b/>
          <w:color w:val="000000" w:themeColor="text1"/>
          <w:sz w:val="36"/>
          <w:szCs w:val="30"/>
          <w14:textFill>
            <w14:solidFill>
              <w14:schemeClr w14:val="tx1"/>
            </w14:solidFill>
          </w14:textFill>
        </w:rPr>
      </w:pP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8841"/>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jc w:val="center"/>
        </w:trPr>
        <w:tc>
          <w:tcPr>
            <w:tcW w:w="848"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检查项目</w:t>
            </w:r>
          </w:p>
        </w:tc>
        <w:tc>
          <w:tcPr>
            <w:tcW w:w="8841"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检查要点</w:t>
            </w:r>
          </w:p>
        </w:tc>
        <w:tc>
          <w:tcPr>
            <w:tcW w:w="1362"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1.1.1</w:t>
            </w:r>
          </w:p>
        </w:tc>
        <w:tc>
          <w:tcPr>
            <w:tcW w:w="3820"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kern w:val="0"/>
                <w:sz w:val="24"/>
                <w:szCs w:val="24"/>
              </w:rPr>
              <w:t>有校级实验室安全工作责任人与领导机构</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有校级正式发文，明确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1.1.2</w:t>
            </w:r>
          </w:p>
        </w:tc>
        <w:tc>
          <w:tcPr>
            <w:tcW w:w="3820"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kern w:val="0"/>
                <w:sz w:val="24"/>
                <w:szCs w:val="24"/>
              </w:rPr>
              <w:t>有明确的实验室安全管理职能部门</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（2）明确牵头职能部门负责实验室安全工作，相关职能部门切实配合落实工作</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1.1.3</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学校与院系签订实验室安全管理责任书/告知书</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（3）档案或信息系统里有现任学校领导与院系负责人签字盖章的安全责任书/告知书</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1.1.4</w:t>
            </w:r>
          </w:p>
        </w:tc>
        <w:tc>
          <w:tcPr>
            <w:tcW w:w="3820" w:type="dxa"/>
            <w:tcMar>
              <w:left w:w="45" w:type="dxa"/>
              <w:right w:w="45" w:type="dxa"/>
            </w:tcMar>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实验室安全工作纳入学校决策研究事项</w:t>
            </w:r>
          </w:p>
        </w:tc>
        <w:tc>
          <w:tcPr>
            <w:tcW w:w="8841" w:type="dxa"/>
            <w:tcMar>
              <w:left w:w="45" w:type="dxa"/>
              <w:right w:w="45" w:type="dxa"/>
            </w:tcMar>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（4）有学校相关会议（校务会议、党委常委会</w:t>
            </w:r>
            <w:r>
              <w:rPr>
                <w:rFonts w:hint="eastAsia" w:ascii="仿宋" w:hAnsi="仿宋" w:eastAsia="仿宋" w:cs="仿宋"/>
                <w:kern w:val="0"/>
                <w:sz w:val="24"/>
                <w:szCs w:val="24"/>
                <w:lang w:eastAsia="zh-CN"/>
              </w:rPr>
              <w:t>会议</w:t>
            </w:r>
            <w:r>
              <w:rPr>
                <w:rFonts w:hint="eastAsia" w:ascii="仿宋" w:hAnsi="仿宋" w:eastAsia="仿宋" w:cs="仿宋"/>
                <w:kern w:val="0"/>
                <w:sz w:val="24"/>
                <w:szCs w:val="24"/>
              </w:rPr>
              <w:t>等）纪要</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1.2</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1.2.1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二级单位党政负责人作为实验室安全工作主要领导责任人</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（5）有带文号的院系文件如党政联席会/办公会等纪要、通知或制度等明确其内容</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1.2.2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成立院系级实验室安全工作领导小组</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（6）有</w:t>
            </w:r>
            <w:r>
              <w:rPr>
                <w:rFonts w:hint="eastAsia" w:ascii="仿宋" w:hAnsi="仿宋" w:eastAsia="仿宋" w:cs="仿宋"/>
                <w:bCs/>
                <w:kern w:val="0"/>
                <w:sz w:val="24"/>
                <w:szCs w:val="24"/>
              </w:rPr>
              <w:t>带文号的院系</w:t>
            </w:r>
            <w:r>
              <w:rPr>
                <w:rFonts w:hint="eastAsia" w:ascii="仿宋" w:hAnsi="仿宋" w:eastAsia="仿宋" w:cs="仿宋"/>
                <w:kern w:val="0"/>
                <w:sz w:val="24"/>
                <w:szCs w:val="24"/>
              </w:rPr>
              <w:t>文件明确由院系党政主要领导作为负责人，设立分管实验室安全领导、安全助理，有实验室负责人或安全员等代表参与</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1.2.3</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建立院系实验室安全责任体系</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（7）有文件资料或网络档案证明实验室（研究所、中心、教研室及具体实验室等）有安全责任人与安全员</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1.2.4</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有实验室安全责任书</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（8）签订责任书到实验房间安全责任人，及每一位使用实验室的教职员工</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bCs/>
                <w:kern w:val="0"/>
                <w:sz w:val="24"/>
                <w:szCs w:val="24"/>
              </w:rPr>
            </w:pPr>
            <w:r>
              <w:rPr>
                <w:rFonts w:hint="eastAsia" w:ascii="仿宋" w:hAnsi="仿宋" w:eastAsia="仿宋" w:cs="仿宋"/>
                <w:b/>
                <w:bCs/>
                <w:kern w:val="0"/>
                <w:sz w:val="24"/>
                <w:szCs w:val="24"/>
              </w:rPr>
              <w:t>1.3</w:t>
            </w:r>
          </w:p>
        </w:tc>
        <w:tc>
          <w:tcPr>
            <w:tcW w:w="14023" w:type="dxa"/>
            <w:gridSpan w:val="3"/>
            <w:tcMar>
              <w:left w:w="45" w:type="dxa"/>
              <w:right w:w="45" w:type="dxa"/>
            </w:tcMar>
            <w:vAlign w:val="center"/>
          </w:tcPr>
          <w:p>
            <w:pPr>
              <w:widowControl/>
              <w:spacing w:line="300" w:lineRule="exact"/>
              <w:rPr>
                <w:rFonts w:hint="eastAsia" w:ascii="仿宋" w:hAnsi="仿宋" w:eastAsia="仿宋" w:cs="仿宋"/>
                <w:b/>
                <w:bCs/>
                <w:kern w:val="0"/>
                <w:sz w:val="24"/>
                <w:szCs w:val="24"/>
              </w:rPr>
            </w:pPr>
            <w:r>
              <w:rPr>
                <w:rFonts w:hint="eastAsia" w:ascii="仿宋" w:hAnsi="仿宋" w:eastAsia="仿宋" w:cs="仿宋"/>
                <w:b/>
                <w:bCs/>
                <w:kern w:val="0"/>
                <w:sz w:val="24"/>
                <w:szCs w:val="24"/>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1.3.1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学校每年有实验室安全常规经费预算</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（9）学校职能部门有预算审批凭据证明有专款用于实验室安全工作</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1.3.2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学校有专项经费投入实验室安全工作，重大安全隐患整改经费能够落实</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（10）学校职能部门有支出凭据证明有专款用于实验室安全工作，尤其是用于重大安全隐患整改项目</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1.3.3</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院系有自筹经费投入实验室安全建设与管理</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bCs/>
                <w:kern w:val="0"/>
                <w:sz w:val="24"/>
                <w:szCs w:val="24"/>
              </w:rPr>
              <w:t>（11）院系有支出凭据证明有专款用于实验室安全工作</w:t>
            </w:r>
          </w:p>
        </w:tc>
        <w:tc>
          <w:tcPr>
            <w:tcW w:w="1362" w:type="dxa"/>
            <w:tcMar>
              <w:left w:w="45" w:type="dxa"/>
              <w:right w:w="45" w:type="dxa"/>
            </w:tcMar>
            <w:vAlign w:val="center"/>
          </w:tcPr>
          <w:p>
            <w:pPr>
              <w:widowControl/>
              <w:spacing w:line="300" w:lineRule="exact"/>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bCs/>
                <w:kern w:val="0"/>
                <w:sz w:val="24"/>
                <w:szCs w:val="24"/>
              </w:rPr>
            </w:pPr>
            <w:r>
              <w:rPr>
                <w:rFonts w:hint="eastAsia" w:ascii="仿宋" w:hAnsi="仿宋" w:eastAsia="仿宋" w:cs="仿宋"/>
                <w:b/>
                <w:bCs/>
                <w:kern w:val="0"/>
                <w:sz w:val="24"/>
                <w:szCs w:val="24"/>
              </w:rPr>
              <w:t>1.4</w:t>
            </w:r>
          </w:p>
        </w:tc>
        <w:tc>
          <w:tcPr>
            <w:tcW w:w="14023" w:type="dxa"/>
            <w:gridSpan w:val="3"/>
            <w:tcMar>
              <w:left w:w="45" w:type="dxa"/>
              <w:right w:w="45" w:type="dxa"/>
            </w:tcMar>
            <w:vAlign w:val="center"/>
          </w:tcPr>
          <w:p>
            <w:pPr>
              <w:widowControl/>
              <w:spacing w:line="300" w:lineRule="exact"/>
              <w:rPr>
                <w:rFonts w:hint="eastAsia" w:ascii="仿宋" w:hAnsi="仿宋" w:eastAsia="仿宋" w:cs="仿宋"/>
                <w:b/>
                <w:bCs/>
                <w:kern w:val="0"/>
                <w:sz w:val="24"/>
                <w:szCs w:val="24"/>
              </w:rPr>
            </w:pPr>
            <w:r>
              <w:rPr>
                <w:rFonts w:hint="eastAsia" w:ascii="仿宋" w:hAnsi="仿宋" w:eastAsia="仿宋" w:cs="仿宋"/>
                <w:b/>
                <w:bCs/>
                <w:kern w:val="0"/>
                <w:sz w:val="24"/>
                <w:szCs w:val="24"/>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1.4.1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学校根据需要配备专职或兼职的实验室安全管理人员</w:t>
            </w:r>
          </w:p>
        </w:tc>
        <w:tc>
          <w:tcPr>
            <w:tcW w:w="8841" w:type="dxa"/>
            <w:tcMar>
              <w:left w:w="45" w:type="dxa"/>
              <w:right w:w="45" w:type="dxa"/>
            </w:tcMar>
            <w:vAlign w:val="center"/>
          </w:tcPr>
          <w:p>
            <w:pPr>
              <w:spacing w:line="300" w:lineRule="exact"/>
              <w:rPr>
                <w:rFonts w:hint="eastAsia" w:ascii="仿宋" w:hAnsi="仿宋" w:eastAsia="仿宋" w:cs="仿宋"/>
                <w:sz w:val="24"/>
                <w:szCs w:val="24"/>
              </w:rPr>
            </w:pPr>
            <w:r>
              <w:rPr>
                <w:rFonts w:hint="eastAsia" w:ascii="仿宋" w:hAnsi="仿宋" w:eastAsia="仿宋" w:cs="仿宋"/>
                <w:kern w:val="0"/>
                <w:sz w:val="24"/>
                <w:szCs w:val="24"/>
              </w:rPr>
              <w:t>（12）有重要危险源，即</w:t>
            </w:r>
            <w:r>
              <w:rPr>
                <w:rFonts w:hint="eastAsia" w:ascii="仿宋" w:hAnsi="仿宋" w:eastAsia="仿宋" w:cs="仿宋"/>
                <w:sz w:val="24"/>
                <w:szCs w:val="24"/>
              </w:rPr>
              <w:t>有毒有害（剧毒、易制爆、易制毒、爆炸品等）化学品、危险（易燃、易爆、有毒、窒息）气体、动物及病原微生物、辐射源及射线装置、同位素及核材料、危险性机械加工装置、强电强磁与激光设备、特种设备等</w:t>
            </w:r>
            <w:r>
              <w:rPr>
                <w:rFonts w:hint="eastAsia" w:ascii="仿宋" w:hAnsi="仿宋" w:eastAsia="仿宋" w:cs="仿宋"/>
                <w:kern w:val="0"/>
                <w:sz w:val="24"/>
                <w:szCs w:val="24"/>
              </w:rPr>
              <w:t>的高校应依据工作量，在校级管理机构配备足够的专职实验室安全管理人员；</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（13）有重要危险源的院系应依据工作量配备专职实验室安全管理人员；文、管、艺术类、数学及信息相关工学等院系配备兼职实验室安全管理人员</w:t>
            </w:r>
          </w:p>
        </w:tc>
        <w:tc>
          <w:tcPr>
            <w:tcW w:w="1362" w:type="dxa"/>
            <w:tcMar>
              <w:left w:w="45" w:type="dxa"/>
              <w:right w:w="45" w:type="dxa"/>
            </w:tcMar>
            <w:vAlign w:val="center"/>
          </w:tcPr>
          <w:p>
            <w:pPr>
              <w:widowControl/>
              <w:spacing w:line="300" w:lineRule="exact"/>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1.4.2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有校级实验室安全检查队伍，可以由教师、实验技术人员组成，也可以利用有相关专业能力的社会力量</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（14）有校级文件证明学校设立了</w:t>
            </w:r>
            <w:r>
              <w:rPr>
                <w:rFonts w:hint="eastAsia" w:ascii="仿宋" w:hAnsi="仿宋" w:eastAsia="仿宋" w:cs="仿宋"/>
                <w:kern w:val="0"/>
                <w:sz w:val="24"/>
                <w:szCs w:val="24"/>
              </w:rPr>
              <w:t>检查队伍，并有</w:t>
            </w:r>
            <w:r>
              <w:rPr>
                <w:rFonts w:hint="eastAsia" w:ascii="仿宋" w:hAnsi="仿宋" w:eastAsia="仿宋" w:cs="仿宋"/>
                <w:bCs/>
                <w:kern w:val="0"/>
                <w:sz w:val="24"/>
                <w:szCs w:val="24"/>
              </w:rPr>
              <w:t>工作记录</w:t>
            </w:r>
          </w:p>
        </w:tc>
        <w:tc>
          <w:tcPr>
            <w:tcW w:w="1362" w:type="dxa"/>
            <w:tcMar>
              <w:left w:w="45" w:type="dxa"/>
              <w:right w:w="45" w:type="dxa"/>
            </w:tcMar>
            <w:vAlign w:val="center"/>
          </w:tcPr>
          <w:p>
            <w:pPr>
              <w:widowControl/>
              <w:spacing w:line="300" w:lineRule="exact"/>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1.4.3</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各级主管实验室安全的负责人、管理人员及技术人员到岗一年内须接受实验室安全培训</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（15）有培训记录（证书、电子文档、书面记录）等证明培训及合格情况</w:t>
            </w:r>
          </w:p>
        </w:tc>
        <w:tc>
          <w:tcPr>
            <w:tcW w:w="1362" w:type="dxa"/>
            <w:tcMar>
              <w:left w:w="45" w:type="dxa"/>
              <w:right w:w="45" w:type="dxa"/>
            </w:tcMar>
            <w:vAlign w:val="center"/>
          </w:tcPr>
          <w:p>
            <w:pPr>
              <w:widowControl/>
              <w:spacing w:line="300" w:lineRule="exact"/>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1.5</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lang w:eastAsia="zh-CN"/>
              </w:rPr>
            </w:pPr>
            <w:r>
              <w:rPr>
                <w:rFonts w:hint="eastAsia" w:ascii="仿宋" w:hAnsi="仿宋" w:eastAsia="仿宋" w:cs="仿宋"/>
                <w:b/>
                <w:kern w:val="0"/>
                <w:sz w:val="24"/>
                <w:szCs w:val="24"/>
              </w:rPr>
              <w:t>其</w:t>
            </w:r>
            <w:r>
              <w:rPr>
                <w:rFonts w:hint="eastAsia" w:ascii="仿宋" w:hAnsi="仿宋" w:eastAsia="仿宋" w:cs="仿宋"/>
                <w:b/>
                <w:kern w:val="0"/>
                <w:sz w:val="24"/>
                <w:szCs w:val="24"/>
                <w:lang w:eastAsia="zh-CN"/>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1.5.1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采用信息化手段管理实验室安全</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（16）学校建设信息管理等系统用于实验室安全管理</w:t>
            </w:r>
          </w:p>
        </w:tc>
        <w:tc>
          <w:tcPr>
            <w:tcW w:w="1362" w:type="dxa"/>
            <w:tcMar>
              <w:left w:w="45" w:type="dxa"/>
              <w:right w:w="45" w:type="dxa"/>
            </w:tcMar>
            <w:vAlign w:val="center"/>
          </w:tcPr>
          <w:p>
            <w:pPr>
              <w:widowControl/>
              <w:spacing w:line="300" w:lineRule="exact"/>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1.5.2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建立实验室安全工作档案</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（17）包括责任体系、队伍建设、安全制度、奖惩、教育培训、安全检查、隐患整改、事故调查与处理、专业安全、</w:t>
            </w:r>
            <w:r>
              <w:rPr>
                <w:rFonts w:hint="eastAsia" w:ascii="仿宋" w:hAnsi="仿宋" w:eastAsia="仿宋" w:cs="仿宋"/>
                <w:kern w:val="0"/>
                <w:sz w:val="24"/>
                <w:szCs w:val="24"/>
                <w:lang w:eastAsia="zh-CN"/>
              </w:rPr>
              <w:t>其他</w:t>
            </w:r>
            <w:r>
              <w:rPr>
                <w:rFonts w:hint="eastAsia" w:ascii="仿宋" w:hAnsi="仿宋" w:eastAsia="仿宋" w:cs="仿宋"/>
                <w:kern w:val="0"/>
                <w:sz w:val="24"/>
                <w:szCs w:val="24"/>
              </w:rPr>
              <w:t>相关的常规或阶段性工作归档资料等，且档案分类规范合理，便于查找</w:t>
            </w:r>
          </w:p>
        </w:tc>
        <w:tc>
          <w:tcPr>
            <w:tcW w:w="1362" w:type="dxa"/>
            <w:tcMar>
              <w:left w:w="45" w:type="dxa"/>
              <w:right w:w="45" w:type="dxa"/>
            </w:tcMar>
            <w:vAlign w:val="center"/>
          </w:tcPr>
          <w:p>
            <w:pPr>
              <w:widowControl/>
              <w:spacing w:line="300" w:lineRule="exact"/>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2</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2.1</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2.1.1</w:t>
            </w:r>
          </w:p>
        </w:tc>
        <w:tc>
          <w:tcPr>
            <w:tcW w:w="3820"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有校级实验室安全管理制度</w:t>
            </w:r>
          </w:p>
        </w:tc>
        <w:tc>
          <w:tcPr>
            <w:tcW w:w="8841" w:type="dxa"/>
            <w:tcMar>
              <w:left w:w="45" w:type="dxa"/>
              <w:right w:w="45" w:type="dxa"/>
            </w:tcMar>
            <w:vAlign w:val="center"/>
          </w:tcPr>
          <w:p>
            <w:pPr>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 xml:space="preserve">（18）有正式发文的校级实验室安全管理规定，内容包括上位法依据、实验室范围、安全管理原则、组织架构、责任体系、奖惩、事故处理、责任与追究、安全文化等要素 </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2.1.2</w:t>
            </w:r>
          </w:p>
        </w:tc>
        <w:tc>
          <w:tcPr>
            <w:tcW w:w="3820"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有校级实验室安全管理办法或细则、应急预案</w:t>
            </w:r>
          </w:p>
        </w:tc>
        <w:tc>
          <w:tcPr>
            <w:tcW w:w="8841" w:type="dxa"/>
            <w:tcMar>
              <w:left w:w="45" w:type="dxa"/>
              <w:right w:w="45" w:type="dxa"/>
            </w:tcMar>
            <w:vAlign w:val="center"/>
          </w:tcPr>
          <w:p>
            <w:pPr>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（19）学校或职能部门依据危险源情况制定实验室分级分类、准入管理、安全检查、奖惩，以及各类专业安全等二级管理办法，并正式发文；</w:t>
            </w:r>
          </w:p>
          <w:p>
            <w:pPr>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（20）有校级的实验室安全事故应急处置预案，并正式发文</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2.1.3</w:t>
            </w:r>
          </w:p>
        </w:tc>
        <w:tc>
          <w:tcPr>
            <w:tcW w:w="3820"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有院系级实验安全管理制度</w:t>
            </w:r>
          </w:p>
        </w:tc>
        <w:tc>
          <w:tcPr>
            <w:tcW w:w="8841" w:type="dxa"/>
            <w:tcMar>
              <w:left w:w="45" w:type="dxa"/>
              <w:right w:w="45" w:type="dxa"/>
            </w:tcMar>
            <w:vAlign w:val="center"/>
          </w:tcPr>
          <w:p>
            <w:pPr>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（21）建有院系特色的实验室安全管理制度，包含安全检查、风险评估、实验室准入、应急预案、安全培训等内容；制度文件应有院系正式发文，并及时修订更新；文件应具有可操作性或实际管理效用</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3</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安全宣传教育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3.1</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安全教育活动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3.1.1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开设实验室安全必修课或选修课</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（22）对于有</w:t>
            </w:r>
            <w:r>
              <w:rPr>
                <w:rFonts w:hint="eastAsia" w:ascii="仿宋" w:hAnsi="仿宋" w:eastAsia="仿宋" w:cs="仿宋"/>
                <w:kern w:val="0"/>
                <w:sz w:val="24"/>
                <w:szCs w:val="24"/>
              </w:rPr>
              <w:t>重要危险源</w:t>
            </w:r>
            <w:r>
              <w:rPr>
                <w:rFonts w:hint="eastAsia" w:ascii="仿宋" w:hAnsi="仿宋" w:eastAsia="仿宋" w:cs="仿宋"/>
                <w:bCs/>
                <w:kern w:val="0"/>
                <w:sz w:val="24"/>
                <w:szCs w:val="24"/>
              </w:rPr>
              <w:t>（见第12目）的院系和专业，要开设有学分的安全教育必修课或将安全教育课程纳入必修环节；鼓励其他专业开设安全选修课</w:t>
            </w:r>
          </w:p>
        </w:tc>
        <w:tc>
          <w:tcPr>
            <w:tcW w:w="1362" w:type="dxa"/>
            <w:tcMar>
              <w:left w:w="45" w:type="dxa"/>
              <w:right w:w="45" w:type="dxa"/>
            </w:tcMar>
            <w:vAlign w:val="center"/>
          </w:tcPr>
          <w:p>
            <w:pPr>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3.1.2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开展校级安全教育培训活动</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（23）校级层面每年有档案证明开展了实验室安全教育培训</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3.1.3</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院系开展专业安全培训活动</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（24）院系层面每年有档案证明开展了实验室安全教育培训，</w:t>
            </w:r>
            <w:r>
              <w:rPr>
                <w:rFonts w:hint="eastAsia" w:ascii="仿宋" w:hAnsi="仿宋" w:eastAsia="仿宋" w:cs="仿宋"/>
                <w:kern w:val="0"/>
                <w:sz w:val="24"/>
                <w:szCs w:val="24"/>
              </w:rPr>
              <w:t>重点关注外来人员和研究生新生</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3.1.4</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开展结合学科特点的应急演练</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bCs/>
                <w:kern w:val="0"/>
                <w:sz w:val="24"/>
                <w:szCs w:val="24"/>
              </w:rPr>
              <w:t>（25）每年有校级的实验室安全事故应急演练</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3.1.5</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组织实验室安全知识考试</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（26）建设有考试系统或考试题库并及时更新，从事实验工作的学生、教职工及外来人员均需参加考试，通过者发放合格证书或保留记录</w:t>
            </w:r>
          </w:p>
        </w:tc>
        <w:tc>
          <w:tcPr>
            <w:tcW w:w="1362" w:type="dxa"/>
            <w:tcMar>
              <w:left w:w="45" w:type="dxa"/>
              <w:right w:w="45" w:type="dxa"/>
            </w:tcMar>
            <w:vAlign w:val="center"/>
          </w:tcPr>
          <w:p>
            <w:pPr>
              <w:rPr>
                <w:rFonts w:hint="eastAsia"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3.2</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3.2.1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建设有学校特色的安全文化</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（27）学校有网页设立专栏开展安全宣传</w:t>
            </w:r>
          </w:p>
        </w:tc>
        <w:tc>
          <w:tcPr>
            <w:tcW w:w="1362" w:type="dxa"/>
            <w:tcMar>
              <w:left w:w="45" w:type="dxa"/>
              <w:right w:w="45" w:type="dxa"/>
            </w:tcMar>
            <w:vAlign w:val="center"/>
          </w:tcPr>
          <w:p>
            <w:pPr>
              <w:widowControl/>
              <w:spacing w:line="300" w:lineRule="exact"/>
              <w:rPr>
                <w:rFonts w:hint="eastAsia"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3.2.2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编印学校实验室安全手册</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（28）将实验室安全手册发放到每一位从事实验活动的师生</w:t>
            </w:r>
          </w:p>
        </w:tc>
        <w:tc>
          <w:tcPr>
            <w:tcW w:w="1362" w:type="dxa"/>
            <w:tcMar>
              <w:left w:w="45" w:type="dxa"/>
              <w:right w:w="45" w:type="dxa"/>
            </w:tcMar>
            <w:vAlign w:val="center"/>
          </w:tcPr>
          <w:p>
            <w:pPr>
              <w:rPr>
                <w:rFonts w:hint="eastAsia"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3.2.3</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创新宣传教育形式，加强安全文化建设</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（29）通过微信公众号、微博、工作简报、文化月、专项整治活动、安全评估、知识竞赛、微电影等方式，加强安全宣传</w:t>
            </w:r>
          </w:p>
        </w:tc>
        <w:tc>
          <w:tcPr>
            <w:tcW w:w="1362" w:type="dxa"/>
            <w:tcMar>
              <w:left w:w="45" w:type="dxa"/>
              <w:right w:w="45" w:type="dxa"/>
            </w:tcMar>
            <w:vAlign w:val="center"/>
          </w:tcPr>
          <w:p>
            <w:pPr>
              <w:widowControl/>
              <w:spacing w:line="300" w:lineRule="exact"/>
              <w:rPr>
                <w:rFonts w:hint="eastAsia"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4</w:t>
            </w:r>
          </w:p>
        </w:tc>
        <w:tc>
          <w:tcPr>
            <w:tcW w:w="14023" w:type="dxa"/>
            <w:gridSpan w:val="3"/>
            <w:tcMar>
              <w:left w:w="45" w:type="dxa"/>
              <w:right w:w="45" w:type="dxa"/>
            </w:tcMar>
            <w:vAlign w:val="center"/>
          </w:tcPr>
          <w:p>
            <w:pPr>
              <w:widowControl/>
              <w:spacing w:line="300" w:lineRule="exact"/>
              <w:rPr>
                <w:rFonts w:hint="eastAsia" w:ascii="仿宋" w:hAnsi="仿宋" w:eastAsia="仿宋" w:cs="仿宋"/>
                <w:b/>
                <w:bCs/>
                <w:kern w:val="0"/>
                <w:sz w:val="24"/>
                <w:szCs w:val="24"/>
              </w:rPr>
            </w:pPr>
            <w:r>
              <w:rPr>
                <w:rFonts w:hint="eastAsia" w:ascii="仿宋" w:hAnsi="仿宋" w:eastAsia="仿宋" w:cs="仿宋"/>
                <w:b/>
                <w:bCs/>
                <w:kern w:val="0"/>
                <w:sz w:val="24"/>
                <w:szCs w:val="24"/>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4.1</w:t>
            </w:r>
          </w:p>
        </w:tc>
        <w:tc>
          <w:tcPr>
            <w:tcW w:w="14023" w:type="dxa"/>
            <w:gridSpan w:val="3"/>
            <w:tcMar>
              <w:left w:w="45" w:type="dxa"/>
              <w:right w:w="45" w:type="dxa"/>
            </w:tcMar>
            <w:vAlign w:val="center"/>
          </w:tcPr>
          <w:p>
            <w:pPr>
              <w:widowControl/>
              <w:spacing w:line="300" w:lineRule="exact"/>
              <w:rPr>
                <w:rFonts w:hint="eastAsia" w:ascii="仿宋" w:hAnsi="仿宋" w:eastAsia="仿宋" w:cs="仿宋"/>
                <w:b/>
                <w:bCs/>
                <w:kern w:val="0"/>
                <w:sz w:val="24"/>
                <w:szCs w:val="24"/>
              </w:rPr>
            </w:pPr>
            <w:r>
              <w:rPr>
                <w:rFonts w:hint="eastAsia" w:ascii="仿宋" w:hAnsi="仿宋" w:eastAsia="仿宋" w:cs="仿宋"/>
                <w:b/>
                <w:bCs/>
                <w:kern w:val="0"/>
                <w:sz w:val="24"/>
                <w:szCs w:val="24"/>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4.1.1</w:t>
            </w:r>
          </w:p>
        </w:tc>
        <w:tc>
          <w:tcPr>
            <w:tcW w:w="3820"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学校、院系层面建立危险源分布清单</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（30）清单内容需包括单位、房间、类别、数量、责任人等信息</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4.1.2</w:t>
            </w:r>
          </w:p>
        </w:tc>
        <w:tc>
          <w:tcPr>
            <w:tcW w:w="3820"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涉及危险源的实验场所，应有明确的警示标识</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（31）涉及重要危险源（见第12目）的场所，有显著的警示标识</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4.1.3</w:t>
            </w:r>
          </w:p>
        </w:tc>
        <w:tc>
          <w:tcPr>
            <w:tcW w:w="3820"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建立针对重要危险源的风险评估和应急管控方案</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（32）学校、院系、实验室应逐级建立风险分级管控方案</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4.2</w:t>
            </w:r>
          </w:p>
        </w:tc>
        <w:tc>
          <w:tcPr>
            <w:tcW w:w="14023" w:type="dxa"/>
            <w:gridSpan w:val="3"/>
            <w:tcMar>
              <w:left w:w="45" w:type="dxa"/>
              <w:right w:w="45" w:type="dxa"/>
            </w:tcMar>
            <w:vAlign w:val="center"/>
          </w:tcPr>
          <w:p>
            <w:pPr>
              <w:widowControl/>
              <w:spacing w:line="300" w:lineRule="exact"/>
              <w:rPr>
                <w:rFonts w:hint="eastAsia" w:ascii="仿宋" w:hAnsi="仿宋" w:eastAsia="仿宋" w:cs="仿宋"/>
                <w:b/>
                <w:bCs/>
                <w:kern w:val="0"/>
                <w:sz w:val="24"/>
                <w:szCs w:val="24"/>
              </w:rPr>
            </w:pPr>
            <w:r>
              <w:rPr>
                <w:rFonts w:hint="eastAsia" w:ascii="仿宋" w:hAnsi="仿宋" w:eastAsia="仿宋" w:cs="仿宋"/>
                <w:b/>
                <w:bCs/>
                <w:kern w:val="0"/>
                <w:sz w:val="24"/>
                <w:szCs w:val="24"/>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4.2.1</w:t>
            </w:r>
          </w:p>
        </w:tc>
        <w:tc>
          <w:tcPr>
            <w:tcW w:w="3820" w:type="dxa"/>
            <w:tcMar>
              <w:left w:w="45" w:type="dxa"/>
              <w:right w:w="45" w:type="dxa"/>
            </w:tcMar>
            <w:vAlign w:val="center"/>
          </w:tcPr>
          <w:p>
            <w:pPr>
              <w:spacing w:line="300" w:lineRule="exact"/>
              <w:rPr>
                <w:rFonts w:hint="eastAsia" w:ascii="仿宋" w:hAnsi="仿宋" w:eastAsia="仿宋" w:cs="仿宋"/>
                <w:kern w:val="0"/>
                <w:sz w:val="24"/>
                <w:szCs w:val="24"/>
              </w:rPr>
            </w:pPr>
            <w:r>
              <w:rPr>
                <w:rFonts w:hint="eastAsia" w:ascii="仿宋" w:hAnsi="仿宋" w:eastAsia="仿宋" w:cs="仿宋"/>
                <w:bCs/>
                <w:kern w:val="0"/>
                <w:sz w:val="24"/>
                <w:szCs w:val="24"/>
              </w:rPr>
              <w:t>学校层面开展定期/不定期检查</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（33）每年不少于4次，并记录存档</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4.2.2</w:t>
            </w:r>
          </w:p>
        </w:tc>
        <w:tc>
          <w:tcPr>
            <w:tcW w:w="3820" w:type="dxa"/>
            <w:tcMar>
              <w:left w:w="45" w:type="dxa"/>
              <w:right w:w="45" w:type="dxa"/>
            </w:tcMar>
            <w:vAlign w:val="center"/>
          </w:tcPr>
          <w:p>
            <w:pPr>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院系层面开展定期检查</w:t>
            </w:r>
          </w:p>
        </w:tc>
        <w:tc>
          <w:tcPr>
            <w:tcW w:w="8841" w:type="dxa"/>
            <w:tcMar>
              <w:left w:w="45" w:type="dxa"/>
              <w:right w:w="45" w:type="dxa"/>
            </w:tcMar>
            <w:vAlign w:val="center"/>
          </w:tcPr>
          <w:p>
            <w:pPr>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（34）每月不少于1次，并记录存档</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4.2.3</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针对高危实验物品开展专项检查</w:t>
            </w:r>
          </w:p>
        </w:tc>
        <w:tc>
          <w:tcPr>
            <w:tcW w:w="8841" w:type="dxa"/>
            <w:tcMar>
              <w:left w:w="45" w:type="dxa"/>
              <w:right w:w="45" w:type="dxa"/>
            </w:tcMar>
            <w:vAlign w:val="center"/>
          </w:tcPr>
          <w:p>
            <w:pPr>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（35）针对</w:t>
            </w:r>
            <w:r>
              <w:rPr>
                <w:rFonts w:hint="eastAsia" w:ascii="仿宋" w:hAnsi="仿宋" w:eastAsia="仿宋" w:cs="仿宋"/>
                <w:bCs/>
                <w:kern w:val="0"/>
                <w:sz w:val="24"/>
                <w:szCs w:val="24"/>
              </w:rPr>
              <w:t>重要险源（见第12目）</w:t>
            </w:r>
            <w:r>
              <w:rPr>
                <w:rFonts w:hint="eastAsia" w:ascii="仿宋" w:hAnsi="仿宋" w:eastAsia="仿宋" w:cs="仿宋"/>
                <w:kern w:val="0"/>
                <w:sz w:val="24"/>
                <w:szCs w:val="24"/>
              </w:rPr>
              <w:t>，开展定期专项检查</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4.2.4</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实验室房间须建立自检自查台账</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（36）定期检查</w:t>
            </w:r>
            <w:r>
              <w:rPr>
                <w:rFonts w:hint="eastAsia" w:ascii="仿宋" w:hAnsi="仿宋" w:eastAsia="仿宋" w:cs="仿宋"/>
                <w:bCs/>
                <w:kern w:val="0"/>
                <w:sz w:val="24"/>
                <w:szCs w:val="24"/>
              </w:rPr>
              <w:t>并留存记录</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4.2.5</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安全检查人员应配备专业的防护和计量用具</w:t>
            </w:r>
          </w:p>
        </w:tc>
        <w:tc>
          <w:tcPr>
            <w:tcW w:w="8841" w:type="dxa"/>
            <w:tcMar>
              <w:left w:w="45" w:type="dxa"/>
              <w:right w:w="45" w:type="dxa"/>
            </w:tcMar>
            <w:vAlign w:val="center"/>
          </w:tcPr>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（37）安全检查人员要佩戴标识、配备照相器具；</w:t>
            </w:r>
          </w:p>
          <w:p>
            <w:pPr>
              <w:widowControl/>
              <w:spacing w:line="300" w:lineRule="exact"/>
              <w:rPr>
                <w:rFonts w:hint="eastAsia" w:ascii="仿宋" w:hAnsi="仿宋" w:eastAsia="仿宋" w:cs="仿宋"/>
                <w:kern w:val="0"/>
                <w:sz w:val="24"/>
                <w:szCs w:val="24"/>
              </w:rPr>
            </w:pPr>
            <w:r>
              <w:rPr>
                <w:rFonts w:hint="eastAsia" w:ascii="仿宋" w:hAnsi="仿宋" w:eastAsia="仿宋" w:cs="仿宋"/>
                <w:sz w:val="24"/>
                <w:szCs w:val="24"/>
              </w:rPr>
              <w:t>（38）进入涉及危化品、生物、辐射等实验室要穿戴必要的防护装具；检查辐射场所要佩戴个人辐射剂量计；配备必要的测量、计量用具（手持式VOC检测仪、声级计、风速仪、电笔、万用表等）</w:t>
            </w:r>
          </w:p>
        </w:tc>
        <w:tc>
          <w:tcPr>
            <w:tcW w:w="1362" w:type="dxa"/>
            <w:tcMar>
              <w:left w:w="45" w:type="dxa"/>
              <w:right w:w="45" w:type="dxa"/>
            </w:tcMar>
            <w:vAlign w:val="center"/>
          </w:tcPr>
          <w:p>
            <w:pPr>
              <w:widowControl/>
              <w:spacing w:line="3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4.3</w:t>
            </w:r>
          </w:p>
        </w:tc>
        <w:tc>
          <w:tcPr>
            <w:tcW w:w="14023" w:type="dxa"/>
            <w:gridSpan w:val="3"/>
            <w:tcMar>
              <w:left w:w="45" w:type="dxa"/>
              <w:right w:w="45" w:type="dxa"/>
            </w:tcMar>
            <w:vAlign w:val="center"/>
          </w:tcPr>
          <w:p>
            <w:pPr>
              <w:widowControl/>
              <w:spacing w:line="300" w:lineRule="exact"/>
              <w:rPr>
                <w:rFonts w:hint="eastAsia" w:ascii="仿宋" w:hAnsi="仿宋" w:eastAsia="仿宋" w:cs="仿宋"/>
                <w:b/>
                <w:bCs/>
                <w:kern w:val="0"/>
                <w:sz w:val="24"/>
                <w:szCs w:val="24"/>
              </w:rPr>
            </w:pPr>
            <w:r>
              <w:rPr>
                <w:rFonts w:hint="eastAsia" w:ascii="仿宋" w:hAnsi="仿宋" w:eastAsia="仿宋" w:cs="仿宋"/>
                <w:b/>
                <w:bCs/>
                <w:kern w:val="0"/>
                <w:sz w:val="24"/>
                <w:szCs w:val="24"/>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4.3.1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检查中发现的问题应以正式形式通知到相关负责人</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（39）通知的方式包括校网上公告、实验室安全简报、书面或电子的整改通知书等形式</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4.3.2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院系应对问题隐患进行及时整改</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（40）整改报告应在规定时间内提交学校管理部门；</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（41）如存在重大隐患，实验室应立即停止实验活动，整改完成或采取相应防护措施后方能恢复实验</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4.4</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4.4.1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学校有定期/不定期</w:t>
            </w:r>
            <w:r>
              <w:rPr>
                <w:rFonts w:hint="eastAsia" w:ascii="仿宋" w:hAnsi="仿宋" w:eastAsia="仿宋" w:cs="仿宋"/>
                <w:bCs/>
                <w:kern w:val="0"/>
                <w:sz w:val="24"/>
                <w:szCs w:val="24"/>
              </w:rPr>
              <w:t>的</w:t>
            </w:r>
            <w:r>
              <w:rPr>
                <w:rFonts w:hint="eastAsia" w:ascii="仿宋" w:hAnsi="仿宋" w:eastAsia="仿宋" w:cs="仿宋"/>
                <w:kern w:val="0"/>
                <w:sz w:val="24"/>
                <w:szCs w:val="24"/>
              </w:rPr>
              <w:t>安全检查通报</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（42）存有相关资料或电子文档</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4.4.2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院系有安全检查及整改记录</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（43）存有相关资料或电子文档</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5</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5.1</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5.1.1</w:t>
            </w:r>
          </w:p>
        </w:tc>
        <w:tc>
          <w:tcPr>
            <w:tcW w:w="3820" w:type="dxa"/>
            <w:tcMar>
              <w:left w:w="45" w:type="dxa"/>
              <w:right w:w="45" w:type="dxa"/>
            </w:tcMar>
            <w:vAlign w:val="center"/>
          </w:tcPr>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实验场所应张贴安全信息牌</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sz w:val="24"/>
                <w:szCs w:val="24"/>
              </w:rPr>
              <w:t>（44）每个房间门口挂有安全信息牌，信息包括：安全风险点的警示标识、安全责任人、涉及危险类别、防护措施和有效的应急联系电话等，并及时更新</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sz w:val="24"/>
                <w:szCs w:val="24"/>
              </w:rPr>
              <w:t>5.1.2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sz w:val="24"/>
                <w:szCs w:val="24"/>
              </w:rPr>
              <w:t>实验场所应具备合理的安全空间布局</w:t>
            </w:r>
          </w:p>
        </w:tc>
        <w:tc>
          <w:tcPr>
            <w:tcW w:w="8841" w:type="dxa"/>
            <w:tcMar>
              <w:left w:w="45" w:type="dxa"/>
              <w:right w:w="45" w:type="dxa"/>
            </w:tcMar>
            <w:vAlign w:val="center"/>
          </w:tcPr>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（45）超过200平方米的实验楼层具有至少两处紧急出口，75平方米以上实验室要有两个出入口；</w:t>
            </w:r>
          </w:p>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（46）实验楼大走廊保证留有大于1.5米净宽的消防通道；</w:t>
            </w:r>
          </w:p>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（47）实验室操作区层高不低于2米；</w:t>
            </w:r>
          </w:p>
          <w:p>
            <w:pPr>
              <w:widowControl/>
              <w:spacing w:line="300" w:lineRule="exact"/>
              <w:rPr>
                <w:rFonts w:hint="eastAsia" w:ascii="仿宋" w:hAnsi="仿宋" w:eastAsia="仿宋" w:cs="仿宋"/>
                <w:bCs/>
                <w:kern w:val="0"/>
                <w:sz w:val="24"/>
                <w:szCs w:val="24"/>
              </w:rPr>
            </w:pPr>
            <w:r>
              <w:rPr>
                <w:rFonts w:hint="eastAsia" w:ascii="仿宋" w:hAnsi="仿宋" w:eastAsia="仿宋" w:cs="仿宋"/>
                <w:sz w:val="24"/>
                <w:szCs w:val="24"/>
              </w:rPr>
              <w:t>（48）理工农医类实验室内多人同时进行实验时，人均操作面积不小于2.5平方米</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sz w:val="24"/>
                <w:szCs w:val="24"/>
              </w:rPr>
              <w:t>5.1.3</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sz w:val="24"/>
                <w:szCs w:val="24"/>
              </w:rPr>
              <w:t>实验室消防通道通畅，公共场所不堆放仪器和物品</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sz w:val="24"/>
                <w:szCs w:val="24"/>
              </w:rPr>
              <w:t>（49）保持消防通道通畅</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sz w:val="24"/>
                <w:szCs w:val="24"/>
              </w:rPr>
              <w:t>5.1.4</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sz w:val="24"/>
                <w:szCs w:val="24"/>
              </w:rPr>
              <w:t>实验室建设和装修应符合消防安全要求</w:t>
            </w:r>
          </w:p>
        </w:tc>
        <w:tc>
          <w:tcPr>
            <w:tcW w:w="8841" w:type="dxa"/>
            <w:tcMar>
              <w:left w:w="45" w:type="dxa"/>
              <w:right w:w="45" w:type="dxa"/>
            </w:tcMar>
            <w:vAlign w:val="center"/>
          </w:tcPr>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（50）实验操作台应选用合格的防火、耐腐蚀材料；</w:t>
            </w:r>
          </w:p>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（51）仪器设备安装符合建筑物承重载荷；</w:t>
            </w:r>
          </w:p>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（52）有可燃气体的实验室不设吊顶；</w:t>
            </w:r>
          </w:p>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（53）不用的配电箱、插座、水管水龙头、网线、气体管路等，应及时拆除或封闭；</w:t>
            </w:r>
          </w:p>
          <w:p>
            <w:pPr>
              <w:widowControl/>
              <w:spacing w:line="300" w:lineRule="exact"/>
              <w:rPr>
                <w:rFonts w:hint="eastAsia" w:ascii="仿宋" w:hAnsi="仿宋" w:eastAsia="仿宋" w:cs="仿宋"/>
                <w:bCs/>
                <w:kern w:val="0"/>
                <w:sz w:val="24"/>
                <w:szCs w:val="24"/>
              </w:rPr>
            </w:pPr>
            <w:r>
              <w:rPr>
                <w:rFonts w:hint="eastAsia" w:ascii="仿宋" w:hAnsi="仿宋" w:eastAsia="仿宋" w:cs="仿宋"/>
                <w:sz w:val="24"/>
                <w:szCs w:val="24"/>
              </w:rPr>
              <w:t>（54）实验室门上有观察窗，外开门不阻挡逃生路径</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5.1.5</w:t>
            </w:r>
          </w:p>
        </w:tc>
        <w:tc>
          <w:tcPr>
            <w:tcW w:w="3820" w:type="dxa"/>
            <w:tcMar>
              <w:left w:w="45" w:type="dxa"/>
              <w:right w:w="45" w:type="dxa"/>
            </w:tcMar>
            <w:vAlign w:val="center"/>
          </w:tcPr>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实验室所有房间均须配有应急备用钥匙</w:t>
            </w:r>
          </w:p>
        </w:tc>
        <w:tc>
          <w:tcPr>
            <w:tcW w:w="8841" w:type="dxa"/>
            <w:tcMar>
              <w:left w:w="45" w:type="dxa"/>
              <w:right w:w="45" w:type="dxa"/>
            </w:tcMar>
            <w:vAlign w:val="center"/>
          </w:tcPr>
          <w:p>
            <w:pPr>
              <w:widowControl/>
              <w:spacing w:line="300" w:lineRule="exact"/>
              <w:rPr>
                <w:rFonts w:hint="eastAsia" w:ascii="仿宋" w:hAnsi="仿宋" w:eastAsia="仿宋" w:cs="仿宋"/>
                <w:bCs/>
                <w:sz w:val="24"/>
                <w:szCs w:val="24"/>
              </w:rPr>
            </w:pPr>
            <w:r>
              <w:rPr>
                <w:rFonts w:hint="eastAsia" w:ascii="仿宋" w:hAnsi="仿宋" w:eastAsia="仿宋" w:cs="仿宋"/>
                <w:sz w:val="24"/>
                <w:szCs w:val="24"/>
              </w:rPr>
              <w:t>（55）应急备用钥匙需集中存放、统一管理，应急时方便取用</w:t>
            </w:r>
          </w:p>
        </w:tc>
        <w:tc>
          <w:tcPr>
            <w:tcW w:w="1362" w:type="dxa"/>
            <w:tcMar>
              <w:left w:w="45" w:type="dxa"/>
              <w:right w:w="45" w:type="dxa"/>
            </w:tcMar>
            <w:vAlign w:val="center"/>
          </w:tcPr>
          <w:p>
            <w:pPr>
              <w:widowControl/>
              <w:spacing w:line="300" w:lineRule="exact"/>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sz w:val="24"/>
                <w:szCs w:val="24"/>
              </w:rPr>
              <w:t>5.1.6</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sz w:val="24"/>
                <w:szCs w:val="24"/>
              </w:rPr>
              <w:t>实验设备需做好振动减震、电磁屏蔽和噪音降噪</w:t>
            </w:r>
          </w:p>
        </w:tc>
        <w:tc>
          <w:tcPr>
            <w:tcW w:w="8841" w:type="dxa"/>
            <w:tcMar>
              <w:left w:w="45" w:type="dxa"/>
              <w:right w:w="45" w:type="dxa"/>
            </w:tcMar>
            <w:vAlign w:val="center"/>
          </w:tcPr>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（56）容易产生振动的设备，需考虑建立合理的减震措施；</w:t>
            </w:r>
          </w:p>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（57）易对外产生磁场或易受磁场干扰的设备，需做好磁屏蔽；</w:t>
            </w:r>
          </w:p>
          <w:p>
            <w:pPr>
              <w:widowControl/>
              <w:spacing w:line="300" w:lineRule="exact"/>
              <w:rPr>
                <w:rFonts w:hint="eastAsia" w:ascii="仿宋" w:hAnsi="仿宋" w:eastAsia="仿宋" w:cs="仿宋"/>
                <w:bCs/>
                <w:kern w:val="0"/>
                <w:sz w:val="24"/>
                <w:szCs w:val="24"/>
              </w:rPr>
            </w:pPr>
            <w:r>
              <w:rPr>
                <w:rFonts w:hint="eastAsia" w:ascii="仿宋" w:hAnsi="仿宋" w:eastAsia="仿宋" w:cs="仿宋"/>
                <w:sz w:val="24"/>
                <w:szCs w:val="24"/>
              </w:rPr>
              <w:t>（58）实验室噪声一般不高于55分贝（机械设备不高于70分贝）</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sz w:val="24"/>
                <w:szCs w:val="24"/>
              </w:rPr>
              <w:t>5.1.7</w:t>
            </w:r>
          </w:p>
        </w:tc>
        <w:tc>
          <w:tcPr>
            <w:tcW w:w="3820" w:type="dxa"/>
            <w:tcMar>
              <w:left w:w="45" w:type="dxa"/>
              <w:right w:w="45" w:type="dxa"/>
            </w:tcMar>
            <w:vAlign w:val="center"/>
          </w:tcPr>
          <w:p>
            <w:pPr>
              <w:spacing w:line="300" w:lineRule="exact"/>
              <w:rPr>
                <w:rFonts w:hint="eastAsia" w:ascii="仿宋" w:hAnsi="仿宋" w:eastAsia="仿宋" w:cs="仿宋"/>
                <w:sz w:val="24"/>
                <w:szCs w:val="24"/>
              </w:rPr>
            </w:pPr>
            <w:r>
              <w:rPr>
                <w:rFonts w:hint="eastAsia" w:ascii="仿宋" w:hAnsi="仿宋" w:eastAsia="仿宋" w:cs="仿宋"/>
                <w:sz w:val="24"/>
                <w:szCs w:val="24"/>
              </w:rPr>
              <w:t>实验室水、电、气管线布局合理，安装施工规范</w:t>
            </w:r>
          </w:p>
        </w:tc>
        <w:tc>
          <w:tcPr>
            <w:tcW w:w="8841" w:type="dxa"/>
            <w:tcMar>
              <w:left w:w="45" w:type="dxa"/>
              <w:right w:w="45" w:type="dxa"/>
            </w:tcMar>
            <w:vAlign w:val="center"/>
          </w:tcPr>
          <w:p>
            <w:pPr>
              <w:spacing w:line="300" w:lineRule="exact"/>
              <w:rPr>
                <w:rFonts w:hint="eastAsia" w:ascii="仿宋" w:hAnsi="仿宋" w:eastAsia="仿宋" w:cs="仿宋"/>
                <w:bCs/>
                <w:sz w:val="24"/>
                <w:szCs w:val="24"/>
              </w:rPr>
            </w:pPr>
            <w:r>
              <w:rPr>
                <w:rFonts w:hint="eastAsia" w:ascii="仿宋" w:hAnsi="仿宋" w:eastAsia="仿宋" w:cs="仿宋"/>
                <w:sz w:val="24"/>
                <w:szCs w:val="24"/>
              </w:rPr>
              <w:t>（59）采用管道供气的实验室，输气管道及阀门无漏气现象，并有明确标识</w:t>
            </w:r>
            <w:r>
              <w:rPr>
                <w:rFonts w:hint="eastAsia" w:ascii="仿宋" w:hAnsi="仿宋" w:eastAsia="仿宋" w:cs="仿宋"/>
                <w:bCs/>
                <w:sz w:val="24"/>
                <w:szCs w:val="24"/>
              </w:rPr>
              <w:t>。供气管道有名称和气体流向标识，无破损；</w:t>
            </w:r>
          </w:p>
          <w:p>
            <w:pPr>
              <w:spacing w:line="300" w:lineRule="exact"/>
              <w:rPr>
                <w:rFonts w:hint="eastAsia" w:ascii="仿宋" w:hAnsi="仿宋" w:eastAsia="仿宋" w:cs="仿宋"/>
                <w:bCs/>
                <w:sz w:val="24"/>
                <w:szCs w:val="24"/>
              </w:rPr>
            </w:pPr>
            <w:r>
              <w:rPr>
                <w:rFonts w:hint="eastAsia" w:ascii="仿宋" w:hAnsi="仿宋" w:eastAsia="仿宋" w:cs="仿宋"/>
                <w:bCs/>
                <w:sz w:val="24"/>
                <w:szCs w:val="24"/>
              </w:rPr>
              <w:t>（60）</w:t>
            </w:r>
            <w:r>
              <w:rPr>
                <w:rFonts w:hint="eastAsia" w:ascii="仿宋" w:hAnsi="仿宋" w:eastAsia="仿宋" w:cs="仿宋"/>
                <w:sz w:val="24"/>
                <w:szCs w:val="24"/>
              </w:rPr>
              <w:t>高温、明火设备放置位置与气体管道有安全间隔距离</w:t>
            </w:r>
          </w:p>
        </w:tc>
        <w:tc>
          <w:tcPr>
            <w:tcW w:w="1362" w:type="dxa"/>
            <w:tcMar>
              <w:left w:w="45" w:type="dxa"/>
              <w:right w:w="45" w:type="dxa"/>
            </w:tcMar>
            <w:vAlign w:val="center"/>
          </w:tcPr>
          <w:p>
            <w:pPr>
              <w:spacing w:line="300" w:lineRule="exact"/>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5.2</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sz w:val="24"/>
                <w:szCs w:val="24"/>
              </w:rPr>
              <w:t>5.2.1</w:t>
            </w:r>
          </w:p>
        </w:tc>
        <w:tc>
          <w:tcPr>
            <w:tcW w:w="3820" w:type="dxa"/>
            <w:tcMar>
              <w:left w:w="45" w:type="dxa"/>
              <w:right w:w="45" w:type="dxa"/>
            </w:tcMar>
            <w:vAlign w:val="center"/>
          </w:tcPr>
          <w:p>
            <w:pPr>
              <w:spacing w:line="300" w:lineRule="exact"/>
              <w:rPr>
                <w:rFonts w:hint="eastAsia" w:ascii="仿宋" w:hAnsi="仿宋" w:eastAsia="仿宋" w:cs="仿宋"/>
                <w:sz w:val="24"/>
                <w:szCs w:val="24"/>
              </w:rPr>
            </w:pPr>
            <w:r>
              <w:rPr>
                <w:rFonts w:hint="eastAsia" w:ascii="仿宋" w:hAnsi="仿宋" w:eastAsia="仿宋" w:cs="仿宋"/>
                <w:sz w:val="24"/>
                <w:szCs w:val="24"/>
              </w:rPr>
              <w:t>实验室分区应相对独立，布局合理</w:t>
            </w:r>
          </w:p>
        </w:tc>
        <w:tc>
          <w:tcPr>
            <w:tcW w:w="8841" w:type="dxa"/>
            <w:tcMar>
              <w:left w:w="45" w:type="dxa"/>
              <w:right w:w="45" w:type="dxa"/>
            </w:tcMar>
            <w:vAlign w:val="center"/>
          </w:tcPr>
          <w:p>
            <w:pPr>
              <w:spacing w:line="300" w:lineRule="exact"/>
              <w:rPr>
                <w:rFonts w:hint="eastAsia" w:ascii="仿宋" w:hAnsi="仿宋" w:eastAsia="仿宋" w:cs="仿宋"/>
                <w:bCs/>
                <w:sz w:val="24"/>
                <w:szCs w:val="24"/>
              </w:rPr>
            </w:pPr>
            <w:r>
              <w:rPr>
                <w:rFonts w:hint="eastAsia" w:ascii="仿宋" w:hAnsi="仿宋" w:eastAsia="仿宋" w:cs="仿宋"/>
                <w:sz w:val="24"/>
                <w:szCs w:val="24"/>
              </w:rPr>
              <w:t>（61）有毒有害实验区与学习区明确分开，合理布局，重点关注化学、生物、辐射、激光等类别实验室。如部分区域分区不明显，现场查看有毒有害物质的管理须对工作环境无健康危害</w:t>
            </w:r>
          </w:p>
        </w:tc>
        <w:tc>
          <w:tcPr>
            <w:tcW w:w="1362" w:type="dxa"/>
            <w:tcMar>
              <w:left w:w="45" w:type="dxa"/>
              <w:right w:w="45" w:type="dxa"/>
            </w:tcMar>
            <w:vAlign w:val="center"/>
          </w:tcPr>
          <w:p>
            <w:pPr>
              <w:spacing w:line="300" w:lineRule="exact"/>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hint="eastAsia" w:ascii="仿宋" w:hAnsi="仿宋" w:eastAsia="仿宋" w:cs="仿宋"/>
                <w:sz w:val="24"/>
                <w:szCs w:val="24"/>
              </w:rPr>
            </w:pPr>
            <w:r>
              <w:rPr>
                <w:rFonts w:hint="eastAsia" w:ascii="仿宋" w:hAnsi="仿宋" w:eastAsia="仿宋" w:cs="仿宋"/>
                <w:sz w:val="24"/>
                <w:szCs w:val="24"/>
              </w:rPr>
              <w:t>5.2.2</w:t>
            </w:r>
          </w:p>
        </w:tc>
        <w:tc>
          <w:tcPr>
            <w:tcW w:w="3820" w:type="dxa"/>
            <w:tcMar>
              <w:left w:w="45" w:type="dxa"/>
              <w:right w:w="45" w:type="dxa"/>
            </w:tcMar>
            <w:vAlign w:val="center"/>
          </w:tcPr>
          <w:p>
            <w:pPr>
              <w:spacing w:line="300" w:lineRule="exact"/>
              <w:rPr>
                <w:rFonts w:hint="eastAsia" w:ascii="仿宋" w:hAnsi="仿宋" w:eastAsia="仿宋" w:cs="仿宋"/>
                <w:sz w:val="24"/>
                <w:szCs w:val="24"/>
              </w:rPr>
            </w:pPr>
            <w:r>
              <w:rPr>
                <w:rFonts w:hint="eastAsia" w:ascii="仿宋" w:hAnsi="仿宋" w:eastAsia="仿宋" w:cs="仿宋"/>
                <w:bCs/>
                <w:sz w:val="24"/>
                <w:szCs w:val="24"/>
              </w:rPr>
              <w:t>实验室环境应整洁卫生有序</w:t>
            </w:r>
          </w:p>
        </w:tc>
        <w:tc>
          <w:tcPr>
            <w:tcW w:w="8841" w:type="dxa"/>
            <w:tcMar>
              <w:left w:w="45" w:type="dxa"/>
              <w:right w:w="45" w:type="dxa"/>
            </w:tcMar>
            <w:vAlign w:val="center"/>
          </w:tcPr>
          <w:p>
            <w:pPr>
              <w:spacing w:line="300" w:lineRule="exact"/>
              <w:rPr>
                <w:rFonts w:hint="eastAsia" w:ascii="仿宋" w:hAnsi="仿宋" w:eastAsia="仿宋" w:cs="仿宋"/>
                <w:sz w:val="24"/>
                <w:szCs w:val="24"/>
              </w:rPr>
            </w:pPr>
            <w:r>
              <w:rPr>
                <w:rFonts w:hint="eastAsia" w:ascii="仿宋" w:hAnsi="仿宋" w:eastAsia="仿宋" w:cs="仿宋"/>
                <w:sz w:val="24"/>
                <w:szCs w:val="24"/>
              </w:rPr>
              <w:t>（62）实验室物品摆放有序，卫生状况良好，实验完毕物品归位，无废弃物品、不放无关物品；</w:t>
            </w:r>
          </w:p>
          <w:p>
            <w:pPr>
              <w:spacing w:line="300" w:lineRule="exact"/>
              <w:rPr>
                <w:rFonts w:hint="eastAsia" w:ascii="仿宋" w:hAnsi="仿宋" w:eastAsia="仿宋" w:cs="仿宋"/>
                <w:bCs/>
                <w:sz w:val="24"/>
                <w:szCs w:val="24"/>
              </w:rPr>
            </w:pPr>
            <w:r>
              <w:rPr>
                <w:rFonts w:hint="eastAsia" w:ascii="仿宋" w:hAnsi="仿宋" w:eastAsia="仿宋" w:cs="仿宋"/>
                <w:sz w:val="24"/>
                <w:szCs w:val="24"/>
              </w:rPr>
              <w:t>（63）</w:t>
            </w:r>
            <w:r>
              <w:rPr>
                <w:rFonts w:hint="eastAsia" w:ascii="仿宋" w:hAnsi="仿宋" w:eastAsia="仿宋" w:cs="仿宋"/>
                <w:kern w:val="0"/>
                <w:sz w:val="24"/>
                <w:szCs w:val="24"/>
              </w:rPr>
              <w:t>不在实验室睡觉过夜，不存放和烧煮食物、饮食，禁止吸烟、不使用可燃性蚊香</w:t>
            </w:r>
          </w:p>
        </w:tc>
        <w:tc>
          <w:tcPr>
            <w:tcW w:w="1362" w:type="dxa"/>
            <w:tcMar>
              <w:left w:w="45" w:type="dxa"/>
              <w:right w:w="45" w:type="dxa"/>
            </w:tcMar>
            <w:vAlign w:val="center"/>
          </w:tcPr>
          <w:p>
            <w:pPr>
              <w:spacing w:line="300" w:lineRule="exact"/>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hint="eastAsia" w:ascii="仿宋" w:hAnsi="仿宋" w:eastAsia="仿宋" w:cs="仿宋"/>
                <w:sz w:val="24"/>
                <w:szCs w:val="24"/>
              </w:rPr>
            </w:pPr>
            <w:r>
              <w:rPr>
                <w:rFonts w:hint="eastAsia" w:ascii="仿宋" w:hAnsi="仿宋" w:eastAsia="仿宋" w:cs="仿宋"/>
                <w:sz w:val="24"/>
                <w:szCs w:val="24"/>
              </w:rPr>
              <w:t>5.2.3</w:t>
            </w:r>
          </w:p>
        </w:tc>
        <w:tc>
          <w:tcPr>
            <w:tcW w:w="3820" w:type="dxa"/>
            <w:tcMar>
              <w:left w:w="45" w:type="dxa"/>
              <w:right w:w="45" w:type="dxa"/>
            </w:tcMar>
            <w:vAlign w:val="center"/>
          </w:tcPr>
          <w:p>
            <w:pPr>
              <w:spacing w:line="300" w:lineRule="exact"/>
              <w:rPr>
                <w:rFonts w:hint="eastAsia" w:ascii="仿宋" w:hAnsi="仿宋" w:eastAsia="仿宋" w:cs="仿宋"/>
                <w:sz w:val="24"/>
                <w:szCs w:val="24"/>
              </w:rPr>
            </w:pPr>
            <w:r>
              <w:rPr>
                <w:rFonts w:hint="eastAsia" w:ascii="仿宋" w:hAnsi="仿宋" w:eastAsia="仿宋" w:cs="仿宋"/>
                <w:sz w:val="24"/>
                <w:szCs w:val="24"/>
              </w:rPr>
              <w:t>实验室有卫生安全制度</w:t>
            </w:r>
          </w:p>
        </w:tc>
        <w:tc>
          <w:tcPr>
            <w:tcW w:w="8841" w:type="dxa"/>
            <w:tcMar>
              <w:left w:w="45" w:type="dxa"/>
              <w:right w:w="45" w:type="dxa"/>
            </w:tcMar>
            <w:vAlign w:val="center"/>
          </w:tcPr>
          <w:p>
            <w:pPr>
              <w:spacing w:line="300" w:lineRule="exact"/>
              <w:rPr>
                <w:rFonts w:hint="eastAsia" w:ascii="仿宋" w:hAnsi="仿宋" w:eastAsia="仿宋" w:cs="仿宋"/>
                <w:bCs/>
                <w:sz w:val="24"/>
                <w:szCs w:val="24"/>
              </w:rPr>
            </w:pPr>
            <w:r>
              <w:rPr>
                <w:rFonts w:hint="eastAsia" w:ascii="仿宋" w:hAnsi="仿宋" w:eastAsia="仿宋" w:cs="仿宋"/>
                <w:kern w:val="0"/>
                <w:sz w:val="24"/>
                <w:szCs w:val="24"/>
              </w:rPr>
              <w:t>（64）实验期间有记录</w:t>
            </w:r>
          </w:p>
        </w:tc>
        <w:tc>
          <w:tcPr>
            <w:tcW w:w="1362" w:type="dxa"/>
            <w:tcMar>
              <w:left w:w="45" w:type="dxa"/>
              <w:right w:w="45" w:type="dxa"/>
            </w:tcMar>
            <w:vAlign w:val="center"/>
          </w:tcPr>
          <w:p>
            <w:pPr>
              <w:spacing w:line="300" w:lineRule="exact"/>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5.3</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场所</w:t>
            </w:r>
            <w:r>
              <w:rPr>
                <w:rFonts w:hint="eastAsia" w:ascii="仿宋" w:hAnsi="仿宋" w:eastAsia="仿宋" w:cs="仿宋"/>
                <w:b/>
                <w:kern w:val="0"/>
                <w:sz w:val="24"/>
                <w:szCs w:val="24"/>
                <w:lang w:eastAsia="zh-CN"/>
              </w:rPr>
              <w:t>其他</w:t>
            </w:r>
            <w:r>
              <w:rPr>
                <w:rFonts w:hint="eastAsia" w:ascii="仿宋" w:hAnsi="仿宋" w:eastAsia="仿宋" w:cs="仿宋"/>
                <w:b/>
                <w:kern w:val="0"/>
                <w:sz w:val="24"/>
                <w:szCs w:val="24"/>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sz w:val="24"/>
                <w:szCs w:val="24"/>
              </w:rPr>
              <w:t>5.3.1</w:t>
            </w:r>
          </w:p>
        </w:tc>
        <w:tc>
          <w:tcPr>
            <w:tcW w:w="3820" w:type="dxa"/>
            <w:tcMar>
              <w:left w:w="45" w:type="dxa"/>
              <w:right w:w="45" w:type="dxa"/>
            </w:tcMar>
            <w:vAlign w:val="center"/>
          </w:tcPr>
          <w:p>
            <w:pPr>
              <w:spacing w:line="300" w:lineRule="exact"/>
              <w:rPr>
                <w:rFonts w:hint="eastAsia" w:ascii="仿宋" w:hAnsi="仿宋" w:eastAsia="仿宋" w:cs="仿宋"/>
                <w:sz w:val="24"/>
                <w:szCs w:val="24"/>
              </w:rPr>
            </w:pPr>
            <w:r>
              <w:rPr>
                <w:rFonts w:hint="eastAsia" w:ascii="仿宋" w:hAnsi="仿宋" w:eastAsia="仿宋" w:cs="仿宋"/>
                <w:sz w:val="24"/>
                <w:szCs w:val="24"/>
              </w:rPr>
              <w:t>每间实验室均有编号并登记造册</w:t>
            </w:r>
          </w:p>
        </w:tc>
        <w:tc>
          <w:tcPr>
            <w:tcW w:w="8841" w:type="dxa"/>
            <w:tcMar>
              <w:left w:w="45" w:type="dxa"/>
              <w:right w:w="45" w:type="dxa"/>
            </w:tcMar>
            <w:vAlign w:val="center"/>
          </w:tcPr>
          <w:p>
            <w:pPr>
              <w:spacing w:line="300" w:lineRule="exact"/>
              <w:rPr>
                <w:rFonts w:hint="eastAsia" w:ascii="仿宋" w:hAnsi="仿宋" w:eastAsia="仿宋" w:cs="仿宋"/>
                <w:bCs/>
                <w:sz w:val="24"/>
                <w:szCs w:val="24"/>
              </w:rPr>
            </w:pPr>
            <w:r>
              <w:rPr>
                <w:rFonts w:hint="eastAsia" w:ascii="仿宋" w:hAnsi="仿宋" w:eastAsia="仿宋" w:cs="仿宋"/>
                <w:bCs/>
                <w:sz w:val="24"/>
                <w:szCs w:val="24"/>
              </w:rPr>
              <w:t>（65）现场查看门牌，查阅档案</w:t>
            </w:r>
          </w:p>
        </w:tc>
        <w:tc>
          <w:tcPr>
            <w:tcW w:w="1362" w:type="dxa"/>
            <w:tcMar>
              <w:left w:w="45" w:type="dxa"/>
              <w:right w:w="45" w:type="dxa"/>
            </w:tcMar>
            <w:vAlign w:val="center"/>
          </w:tcPr>
          <w:p>
            <w:pPr>
              <w:spacing w:line="300" w:lineRule="exact"/>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hint="eastAsia" w:ascii="仿宋" w:hAnsi="仿宋" w:eastAsia="仿宋" w:cs="仿宋"/>
                <w:sz w:val="24"/>
                <w:szCs w:val="24"/>
              </w:rPr>
            </w:pPr>
            <w:r>
              <w:rPr>
                <w:rFonts w:hint="eastAsia" w:ascii="仿宋" w:hAnsi="仿宋" w:eastAsia="仿宋" w:cs="仿宋"/>
                <w:sz w:val="24"/>
                <w:szCs w:val="24"/>
              </w:rPr>
              <w:t>5.3.2</w:t>
            </w:r>
          </w:p>
        </w:tc>
        <w:tc>
          <w:tcPr>
            <w:tcW w:w="3820" w:type="dxa"/>
            <w:tcMar>
              <w:left w:w="45" w:type="dxa"/>
              <w:right w:w="45" w:type="dxa"/>
            </w:tcMar>
            <w:vAlign w:val="center"/>
          </w:tcPr>
          <w:p>
            <w:pPr>
              <w:spacing w:line="300" w:lineRule="exact"/>
              <w:rPr>
                <w:rFonts w:hint="eastAsia" w:ascii="仿宋" w:hAnsi="仿宋" w:eastAsia="仿宋" w:cs="仿宋"/>
                <w:sz w:val="24"/>
                <w:szCs w:val="24"/>
              </w:rPr>
            </w:pPr>
            <w:r>
              <w:rPr>
                <w:rFonts w:hint="eastAsia" w:ascii="仿宋" w:hAnsi="仿宋" w:eastAsia="仿宋" w:cs="仿宋"/>
                <w:sz w:val="24"/>
                <w:szCs w:val="24"/>
              </w:rPr>
              <w:t>危险性实验室应配备急救物品</w:t>
            </w:r>
          </w:p>
        </w:tc>
        <w:tc>
          <w:tcPr>
            <w:tcW w:w="8841" w:type="dxa"/>
            <w:tcMar>
              <w:left w:w="45" w:type="dxa"/>
              <w:right w:w="45" w:type="dxa"/>
            </w:tcMar>
            <w:vAlign w:val="center"/>
          </w:tcPr>
          <w:p>
            <w:pPr>
              <w:spacing w:line="300" w:lineRule="exact"/>
              <w:rPr>
                <w:rFonts w:hint="eastAsia" w:ascii="仿宋" w:hAnsi="仿宋" w:eastAsia="仿宋" w:cs="仿宋"/>
                <w:bCs/>
                <w:sz w:val="24"/>
                <w:szCs w:val="24"/>
              </w:rPr>
            </w:pPr>
            <w:r>
              <w:rPr>
                <w:rFonts w:hint="eastAsia" w:ascii="仿宋" w:hAnsi="仿宋" w:eastAsia="仿宋" w:cs="仿宋"/>
                <w:sz w:val="24"/>
                <w:szCs w:val="24"/>
              </w:rPr>
              <w:t>（66）配备的药箱不得上锁，并定期检查药品是否在保质期内</w:t>
            </w:r>
          </w:p>
        </w:tc>
        <w:tc>
          <w:tcPr>
            <w:tcW w:w="1362" w:type="dxa"/>
            <w:tcMar>
              <w:left w:w="45" w:type="dxa"/>
              <w:right w:w="45" w:type="dxa"/>
            </w:tcMar>
            <w:vAlign w:val="center"/>
          </w:tcPr>
          <w:p>
            <w:pPr>
              <w:spacing w:line="300" w:lineRule="exact"/>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hint="eastAsia" w:ascii="仿宋" w:hAnsi="仿宋" w:eastAsia="仿宋" w:cs="仿宋"/>
                <w:sz w:val="24"/>
                <w:szCs w:val="24"/>
              </w:rPr>
            </w:pPr>
            <w:r>
              <w:rPr>
                <w:rFonts w:hint="eastAsia" w:ascii="仿宋" w:hAnsi="仿宋" w:eastAsia="仿宋" w:cs="仿宋"/>
                <w:sz w:val="24"/>
                <w:szCs w:val="24"/>
              </w:rPr>
              <w:t>5.3.3</w:t>
            </w:r>
          </w:p>
        </w:tc>
        <w:tc>
          <w:tcPr>
            <w:tcW w:w="3820" w:type="dxa"/>
            <w:tcMar>
              <w:left w:w="45" w:type="dxa"/>
              <w:right w:w="45" w:type="dxa"/>
            </w:tcMar>
            <w:vAlign w:val="center"/>
          </w:tcPr>
          <w:p>
            <w:pPr>
              <w:spacing w:line="300" w:lineRule="exact"/>
              <w:rPr>
                <w:rFonts w:hint="eastAsia" w:ascii="仿宋" w:hAnsi="仿宋" w:eastAsia="仿宋" w:cs="仿宋"/>
                <w:sz w:val="24"/>
                <w:szCs w:val="24"/>
              </w:rPr>
            </w:pPr>
            <w:r>
              <w:rPr>
                <w:rFonts w:hint="eastAsia" w:ascii="仿宋" w:hAnsi="仿宋" w:eastAsia="仿宋" w:cs="仿宋"/>
                <w:sz w:val="24"/>
                <w:szCs w:val="24"/>
              </w:rPr>
              <w:t>停用的实验室有安全防范措施和明显标识</w:t>
            </w:r>
          </w:p>
        </w:tc>
        <w:tc>
          <w:tcPr>
            <w:tcW w:w="8841" w:type="dxa"/>
            <w:tcMar>
              <w:left w:w="45" w:type="dxa"/>
              <w:right w:w="45" w:type="dxa"/>
            </w:tcMar>
            <w:vAlign w:val="center"/>
          </w:tcPr>
          <w:p>
            <w:pPr>
              <w:spacing w:line="300" w:lineRule="exact"/>
              <w:rPr>
                <w:rFonts w:hint="eastAsia" w:ascii="仿宋" w:hAnsi="仿宋" w:eastAsia="仿宋" w:cs="仿宋"/>
                <w:bCs/>
                <w:sz w:val="24"/>
                <w:szCs w:val="24"/>
              </w:rPr>
            </w:pPr>
            <w:r>
              <w:rPr>
                <w:rFonts w:hint="eastAsia" w:ascii="仿宋" w:hAnsi="仿宋" w:eastAsia="仿宋" w:cs="仿宋"/>
                <w:bCs/>
                <w:sz w:val="24"/>
                <w:szCs w:val="24"/>
              </w:rPr>
              <w:t>（67）查看现场</w:t>
            </w:r>
          </w:p>
        </w:tc>
        <w:tc>
          <w:tcPr>
            <w:tcW w:w="1362" w:type="dxa"/>
            <w:tcMar>
              <w:left w:w="45" w:type="dxa"/>
              <w:right w:w="45" w:type="dxa"/>
            </w:tcMar>
            <w:vAlign w:val="center"/>
          </w:tcPr>
          <w:p>
            <w:pPr>
              <w:spacing w:line="300" w:lineRule="exact"/>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6</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6.1</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hint="eastAsia" w:ascii="仿宋" w:hAnsi="仿宋" w:eastAsia="仿宋" w:cs="仿宋"/>
                <w:sz w:val="24"/>
                <w:szCs w:val="24"/>
              </w:rPr>
            </w:pPr>
            <w:r>
              <w:rPr>
                <w:rFonts w:hint="eastAsia" w:ascii="仿宋" w:hAnsi="仿宋" w:eastAsia="仿宋" w:cs="仿宋"/>
                <w:sz w:val="24"/>
                <w:szCs w:val="24"/>
              </w:rPr>
              <w:t>6.1.1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实验室应配备合适的灭火设备，并定期开展使用训练</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（68）烟感报警器、灭火器、灭火毯、消防砂、消防喷淋等，应正常有效、方便取用；</w:t>
            </w:r>
          </w:p>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（69）灭火器种类配置正确，且在有效期内（压力指针位置正常等），安全销（拉针）正常，瓶身无破损、腐蚀</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hint="eastAsia" w:ascii="仿宋" w:hAnsi="仿宋" w:eastAsia="仿宋" w:cs="仿宋"/>
                <w:sz w:val="24"/>
                <w:szCs w:val="24"/>
              </w:rPr>
            </w:pPr>
            <w:r>
              <w:rPr>
                <w:rFonts w:hint="eastAsia" w:ascii="仿宋" w:hAnsi="仿宋" w:eastAsia="仿宋" w:cs="仿宋"/>
                <w:sz w:val="24"/>
                <w:szCs w:val="24"/>
              </w:rPr>
              <w:t>6.1.2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紧急逃生疏散路线通畅</w:t>
            </w:r>
          </w:p>
        </w:tc>
        <w:tc>
          <w:tcPr>
            <w:tcW w:w="8841" w:type="dxa"/>
            <w:tcMar>
              <w:left w:w="45" w:type="dxa"/>
              <w:right w:w="45" w:type="dxa"/>
            </w:tcMar>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（70）在显著位置张贴有紧急逃生疏散路线图，疏散路线图的逃生路线应有二条（含）以上，路线与现场情况符合；</w:t>
            </w:r>
          </w:p>
          <w:p>
            <w:pPr>
              <w:rPr>
                <w:rFonts w:hint="eastAsia" w:ascii="仿宋" w:hAnsi="仿宋" w:eastAsia="仿宋" w:cs="仿宋"/>
                <w:kern w:val="0"/>
                <w:sz w:val="24"/>
                <w:szCs w:val="24"/>
              </w:rPr>
            </w:pPr>
            <w:r>
              <w:rPr>
                <w:rFonts w:hint="eastAsia" w:ascii="仿宋" w:hAnsi="仿宋" w:eastAsia="仿宋" w:cs="仿宋"/>
                <w:kern w:val="0"/>
                <w:sz w:val="24"/>
                <w:szCs w:val="24"/>
              </w:rPr>
              <w:t>（71）主要逃生路径（室内、楼梯、通道和出口处）有足够的紧急照明灯，功能正常，并设置有效标识指示逃生方向；</w:t>
            </w:r>
          </w:p>
          <w:p>
            <w:pPr>
              <w:rPr>
                <w:rFonts w:hint="eastAsia" w:ascii="仿宋" w:hAnsi="仿宋" w:eastAsia="仿宋" w:cs="仿宋"/>
                <w:bCs/>
                <w:kern w:val="0"/>
                <w:sz w:val="24"/>
                <w:szCs w:val="24"/>
              </w:rPr>
            </w:pPr>
            <w:r>
              <w:rPr>
                <w:rFonts w:hint="eastAsia" w:ascii="仿宋" w:hAnsi="仿宋" w:eastAsia="仿宋" w:cs="仿宋"/>
                <w:kern w:val="0"/>
                <w:sz w:val="24"/>
                <w:szCs w:val="24"/>
              </w:rPr>
              <w:t>（72）人员应熟悉紧急疏散路线及火场逃生注意事项（现场调查人员熟悉程度）</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6.2</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6.2.1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存在燃烧和腐蚀风险的实验区域，需配置应急喷淋和洗眼装置</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（73）应急喷淋和洗眼装置的区域有显著标识</w:t>
            </w:r>
          </w:p>
        </w:tc>
        <w:tc>
          <w:tcPr>
            <w:tcW w:w="1362" w:type="dxa"/>
            <w:tcMar>
              <w:left w:w="45" w:type="dxa"/>
              <w:right w:w="45" w:type="dxa"/>
            </w:tcMar>
            <w:vAlign w:val="center"/>
          </w:tcPr>
          <w:p>
            <w:pPr>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6.2.2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应急喷淋与洗眼装置安装合理，并能正常使用</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（74）应急喷淋安装地点与工作区域之间畅通，距离不超过30米。应急喷淋安装位置合适，拉杆位置合适、方向正确。应急喷淋装置水管总阀为常开状，喷淋头下方无障碍物；</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（75）不能以普通淋浴装置代替应急喷淋装置；</w:t>
            </w:r>
          </w:p>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（76）洗眼装置接入生活用水管道，水量水压适中（喷出高度8~10厘米），</w:t>
            </w:r>
            <w:r>
              <w:rPr>
                <w:rFonts w:hint="eastAsia" w:ascii="仿宋" w:hAnsi="仿宋" w:eastAsia="仿宋" w:cs="仿宋"/>
                <w:bCs/>
                <w:kern w:val="0"/>
                <w:sz w:val="24"/>
                <w:szCs w:val="24"/>
              </w:rPr>
              <w:t>水流畅通平稳</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6.2.3</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定期对应急喷淋与洗眼装置进行维护</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（77）经常擦拭洗眼喷头，</w:t>
            </w:r>
            <w:r>
              <w:rPr>
                <w:rFonts w:hint="eastAsia" w:ascii="仿宋" w:hAnsi="仿宋" w:eastAsia="仿宋" w:cs="仿宋"/>
                <w:bCs/>
                <w:kern w:val="0"/>
                <w:sz w:val="24"/>
                <w:szCs w:val="24"/>
              </w:rPr>
              <w:t>无锈水脏水，</w:t>
            </w:r>
            <w:r>
              <w:rPr>
                <w:rFonts w:hint="eastAsia" w:ascii="仿宋" w:hAnsi="仿宋" w:eastAsia="仿宋" w:cs="仿宋"/>
                <w:kern w:val="0"/>
                <w:sz w:val="24"/>
                <w:szCs w:val="24"/>
              </w:rPr>
              <w:t>有检查记录（每月启动一次阀门，时刻保证管内流水畅通）</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6.3</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6.3.1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有需要的实验场所配备符合设计规范的通风系统</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（78）管道风机需防腐，使用可燃气体场所宜采用防爆风机</w:t>
            </w:r>
            <w:r>
              <w:rPr>
                <w:rFonts w:hint="eastAsia" w:ascii="仿宋" w:hAnsi="仿宋" w:eastAsia="仿宋" w:cs="仿宋"/>
                <w:bCs/>
                <w:kern w:val="0"/>
                <w:sz w:val="24"/>
                <w:szCs w:val="24"/>
              </w:rPr>
              <w:t>；</w:t>
            </w:r>
          </w:p>
          <w:p>
            <w:pPr>
              <w:widowControl/>
              <w:spacing w:line="300" w:lineRule="exact"/>
              <w:rPr>
                <w:rFonts w:hint="eastAsia" w:ascii="仿宋" w:hAnsi="仿宋" w:eastAsia="仿宋" w:cs="仿宋"/>
                <w:kern w:val="0"/>
                <w:sz w:val="24"/>
                <w:szCs w:val="24"/>
              </w:rPr>
            </w:pPr>
            <w:r>
              <w:rPr>
                <w:rFonts w:hint="eastAsia" w:ascii="仿宋" w:hAnsi="仿宋" w:eastAsia="仿宋" w:cs="仿宋"/>
                <w:bCs/>
                <w:kern w:val="0"/>
                <w:sz w:val="24"/>
                <w:szCs w:val="24"/>
              </w:rPr>
              <w:t>（79）</w:t>
            </w:r>
            <w:r>
              <w:rPr>
                <w:rFonts w:hint="eastAsia" w:ascii="仿宋" w:hAnsi="仿宋" w:eastAsia="仿宋" w:cs="仿宋"/>
                <w:kern w:val="0"/>
                <w:sz w:val="24"/>
                <w:szCs w:val="24"/>
              </w:rPr>
              <w:t>实验室通风系统运行正常，</w:t>
            </w:r>
            <w:r>
              <w:rPr>
                <w:rFonts w:hint="eastAsia" w:ascii="仿宋" w:hAnsi="仿宋" w:eastAsia="仿宋" w:cs="仿宋"/>
                <w:sz w:val="24"/>
                <w:szCs w:val="24"/>
              </w:rPr>
              <w:t>柜口面</w:t>
            </w:r>
            <w:r>
              <w:rPr>
                <w:rFonts w:hint="eastAsia" w:ascii="仿宋" w:hAnsi="仿宋" w:eastAsia="仿宋" w:cs="仿宋"/>
                <w:kern w:val="0"/>
                <w:sz w:val="24"/>
                <w:szCs w:val="24"/>
              </w:rPr>
              <w:t>风速0.35~0.75米/秒，定期进行维护、检修；</w:t>
            </w:r>
          </w:p>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（80）屋顶风机固定无松动、无异常噪声</w:t>
            </w:r>
          </w:p>
        </w:tc>
        <w:tc>
          <w:tcPr>
            <w:tcW w:w="1362" w:type="dxa"/>
            <w:tcMar>
              <w:left w:w="45" w:type="dxa"/>
              <w:right w:w="45" w:type="dxa"/>
            </w:tcMar>
            <w:vAlign w:val="center"/>
          </w:tcPr>
          <w:p>
            <w:pPr>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6.3.2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通风柜配置合理、使用正常、操作合规</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（81）实验室排出的有害物质浓度超过国家现行标准规定的允许排放标准时，应采取净化措施，做到达标排放；</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（82）任何可能产生高浓度有害气体而导致个人曝露、或产生可燃、可爆炸气体或蒸汽而导致积聚的实验，都应在通风柜内进行；</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（83）进行实验时，通风柜可调玻璃视窗开至离台面10</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15厘米，保持通风效果，并保护操作人员胸部以上部位；</w:t>
            </w:r>
          </w:p>
          <w:p>
            <w:pPr>
              <w:widowControl/>
              <w:spacing w:line="300" w:lineRule="exact"/>
              <w:rPr>
                <w:rFonts w:hint="eastAsia" w:ascii="仿宋" w:hAnsi="仿宋" w:eastAsia="仿宋" w:cs="仿宋"/>
                <w:kern w:val="0"/>
                <w:sz w:val="24"/>
                <w:szCs w:val="24"/>
              </w:rPr>
            </w:pPr>
            <w:r>
              <w:rPr>
                <w:rFonts w:hint="eastAsia" w:ascii="仿宋" w:hAnsi="仿宋" w:eastAsia="仿宋" w:cs="仿宋"/>
                <w:bCs/>
                <w:kern w:val="0"/>
                <w:sz w:val="24"/>
                <w:szCs w:val="24"/>
              </w:rPr>
              <w:t>（84）</w:t>
            </w:r>
            <w:r>
              <w:rPr>
                <w:rFonts w:hint="eastAsia" w:ascii="仿宋" w:hAnsi="仿宋" w:eastAsia="仿宋" w:cs="仿宋"/>
                <w:kern w:val="0"/>
                <w:sz w:val="24"/>
                <w:szCs w:val="24"/>
              </w:rPr>
              <w:t>实验人员在通风柜进行实验时，避免将头伸入调节门内。不可将一次性手套或较轻的塑料袋等留在通风柜内，以免堵塞排风口；</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（85）通风柜内放置物品应距离调节门内侧15厘米以上，以免掉落；</w:t>
            </w:r>
          </w:p>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（86）</w:t>
            </w:r>
            <w:r>
              <w:rPr>
                <w:rFonts w:hint="eastAsia" w:ascii="仿宋" w:hAnsi="仿宋" w:eastAsia="仿宋" w:cs="仿宋"/>
                <w:bCs/>
                <w:kern w:val="0"/>
                <w:sz w:val="24"/>
                <w:szCs w:val="24"/>
              </w:rPr>
              <w:t>玻璃视窗材料应是钢化玻璃</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6.4</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6.4.1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sz w:val="24"/>
                <w:szCs w:val="24"/>
              </w:rPr>
              <w:t>重点场所需安装门禁和监控设施，并有专人管理</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sz w:val="24"/>
                <w:szCs w:val="24"/>
              </w:rPr>
              <w:t>（87）关注重点场所，如剧毒品、病原微生物、放射源存放点、核材料等危险源的管理</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6.4.2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sz w:val="24"/>
                <w:szCs w:val="24"/>
              </w:rPr>
              <w:t>门禁和监控系统运转正常，与实验室准入制度相匹配</w:t>
            </w:r>
          </w:p>
        </w:tc>
        <w:tc>
          <w:tcPr>
            <w:tcW w:w="8841" w:type="dxa"/>
            <w:tcMar>
              <w:left w:w="45" w:type="dxa"/>
              <w:right w:w="45" w:type="dxa"/>
            </w:tcMar>
            <w:vAlign w:val="center"/>
          </w:tcPr>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（88）监控不留死角，图像清晰，人员出入记录可查，视频记录存储时间不少于30天；</w:t>
            </w:r>
          </w:p>
          <w:p>
            <w:pPr>
              <w:widowControl/>
              <w:spacing w:line="300" w:lineRule="exact"/>
              <w:rPr>
                <w:rFonts w:hint="eastAsia" w:ascii="仿宋" w:hAnsi="仿宋" w:eastAsia="仿宋" w:cs="仿宋"/>
                <w:bCs/>
                <w:kern w:val="0"/>
                <w:sz w:val="24"/>
                <w:szCs w:val="24"/>
              </w:rPr>
            </w:pPr>
            <w:r>
              <w:rPr>
                <w:rFonts w:hint="eastAsia" w:ascii="仿宋" w:hAnsi="仿宋" w:eastAsia="仿宋" w:cs="仿宋"/>
                <w:sz w:val="24"/>
                <w:szCs w:val="24"/>
              </w:rPr>
              <w:t>（89）停电时，电子门禁系统应是开启状态或者有备用机械钥匙</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6.5</w:t>
            </w:r>
          </w:p>
        </w:tc>
        <w:tc>
          <w:tcPr>
            <w:tcW w:w="14023" w:type="dxa"/>
            <w:gridSpan w:val="3"/>
            <w:tcMar>
              <w:left w:w="45" w:type="dxa"/>
              <w:right w:w="45" w:type="dxa"/>
            </w:tcMar>
            <w:vAlign w:val="center"/>
          </w:tcPr>
          <w:p>
            <w:pPr>
              <w:widowControl/>
              <w:spacing w:line="300" w:lineRule="exact"/>
              <w:rPr>
                <w:rFonts w:hint="eastAsia" w:ascii="仿宋" w:hAnsi="仿宋" w:eastAsia="仿宋" w:cs="仿宋"/>
                <w:b/>
                <w:sz w:val="24"/>
                <w:szCs w:val="24"/>
              </w:rPr>
            </w:pPr>
            <w:r>
              <w:rPr>
                <w:rFonts w:hint="eastAsia" w:ascii="仿宋" w:hAnsi="仿宋" w:eastAsia="仿宋" w:cs="仿宋"/>
                <w:b/>
                <w:sz w:val="24"/>
                <w:szCs w:val="24"/>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6.5.1</w:t>
            </w:r>
          </w:p>
        </w:tc>
        <w:tc>
          <w:tcPr>
            <w:tcW w:w="3820" w:type="dxa"/>
            <w:tcMar>
              <w:left w:w="45" w:type="dxa"/>
              <w:right w:w="45" w:type="dxa"/>
            </w:tcMar>
            <w:vAlign w:val="center"/>
          </w:tcPr>
          <w:p>
            <w:pPr>
              <w:spacing w:line="300" w:lineRule="exact"/>
              <w:rPr>
                <w:rFonts w:hint="eastAsia" w:ascii="仿宋" w:hAnsi="仿宋" w:eastAsia="仿宋" w:cs="仿宋"/>
                <w:sz w:val="24"/>
                <w:szCs w:val="24"/>
              </w:rPr>
            </w:pPr>
            <w:r>
              <w:rPr>
                <w:rFonts w:hint="eastAsia" w:ascii="仿宋" w:hAnsi="仿宋" w:eastAsia="仿宋" w:cs="仿宋"/>
                <w:sz w:val="24"/>
                <w:szCs w:val="24"/>
              </w:rPr>
              <w:t>有防爆需求的实验室需符合防爆设计要求</w:t>
            </w:r>
          </w:p>
        </w:tc>
        <w:tc>
          <w:tcPr>
            <w:tcW w:w="8841" w:type="dxa"/>
            <w:tcMar>
              <w:left w:w="45" w:type="dxa"/>
              <w:right w:w="45" w:type="dxa"/>
            </w:tcMar>
            <w:vAlign w:val="center"/>
          </w:tcPr>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（90）安装有防爆开关、防爆灯等，安装必要的气体报警系统、监控系统、应急系统等；</w:t>
            </w:r>
          </w:p>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（91）对于产生可燃气体或蒸汽的装置，应在其进、出口处安装阻火器；</w:t>
            </w:r>
          </w:p>
          <w:p>
            <w:pPr>
              <w:widowControl/>
              <w:spacing w:line="300" w:lineRule="exact"/>
              <w:rPr>
                <w:rFonts w:hint="eastAsia" w:ascii="仿宋" w:hAnsi="仿宋" w:eastAsia="仿宋" w:cs="仿宋"/>
                <w:bCs/>
                <w:kern w:val="0"/>
                <w:sz w:val="24"/>
                <w:szCs w:val="24"/>
              </w:rPr>
            </w:pPr>
            <w:r>
              <w:rPr>
                <w:rFonts w:hint="eastAsia" w:ascii="仿宋" w:hAnsi="仿宋" w:eastAsia="仿宋" w:cs="仿宋"/>
                <w:sz w:val="24"/>
                <w:szCs w:val="24"/>
              </w:rPr>
              <w:t>（92）室内应加强通风，防止爆炸物聚积</w:t>
            </w:r>
          </w:p>
        </w:tc>
        <w:tc>
          <w:tcPr>
            <w:tcW w:w="1362" w:type="dxa"/>
            <w:tcMar>
              <w:left w:w="45" w:type="dxa"/>
              <w:right w:w="45" w:type="dxa"/>
            </w:tcMar>
            <w:vAlign w:val="center"/>
          </w:tcPr>
          <w:p>
            <w:pPr>
              <w:widowControl/>
              <w:spacing w:line="3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6.5.2</w:t>
            </w:r>
          </w:p>
        </w:tc>
        <w:tc>
          <w:tcPr>
            <w:tcW w:w="3820" w:type="dxa"/>
            <w:tcMar>
              <w:left w:w="45" w:type="dxa"/>
              <w:right w:w="45" w:type="dxa"/>
            </w:tcMar>
            <w:vAlign w:val="center"/>
          </w:tcPr>
          <w:p>
            <w:pPr>
              <w:spacing w:line="300" w:lineRule="exact"/>
              <w:rPr>
                <w:rFonts w:hint="eastAsia" w:ascii="仿宋" w:hAnsi="仿宋" w:eastAsia="仿宋" w:cs="仿宋"/>
                <w:sz w:val="24"/>
                <w:szCs w:val="24"/>
              </w:rPr>
            </w:pPr>
            <w:r>
              <w:rPr>
                <w:rFonts w:hint="eastAsia" w:ascii="仿宋" w:hAnsi="仿宋" w:eastAsia="仿宋" w:cs="仿宋"/>
                <w:sz w:val="24"/>
                <w:szCs w:val="24"/>
              </w:rPr>
              <w:t>应妥善防护具有爆炸危险性的仪器设备</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sz w:val="24"/>
                <w:szCs w:val="24"/>
              </w:rPr>
              <w:t>（93）使用合适的安全罩防护</w:t>
            </w:r>
          </w:p>
        </w:tc>
        <w:tc>
          <w:tcPr>
            <w:tcW w:w="1362" w:type="dxa"/>
            <w:tcMar>
              <w:left w:w="45" w:type="dxa"/>
              <w:right w:w="45" w:type="dxa"/>
            </w:tcMar>
            <w:vAlign w:val="center"/>
          </w:tcPr>
          <w:p>
            <w:pPr>
              <w:widowControl/>
              <w:spacing w:line="3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7</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7.1</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用电用水基础安全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7.1.1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实验室用电安全应符合国家标准（导则）和行业标准</w:t>
            </w:r>
          </w:p>
        </w:tc>
        <w:tc>
          <w:tcPr>
            <w:tcW w:w="8841" w:type="dxa"/>
            <w:tcMar>
              <w:left w:w="45" w:type="dxa"/>
              <w:right w:w="45" w:type="dxa"/>
            </w:tcMar>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（94）实验室电容量、插头插座与用电设备功率需匹配，不得私自改装；</w:t>
            </w:r>
          </w:p>
          <w:p>
            <w:pPr>
              <w:rPr>
                <w:rFonts w:hint="eastAsia" w:ascii="仿宋" w:hAnsi="仿宋" w:eastAsia="仿宋" w:cs="仿宋"/>
                <w:kern w:val="0"/>
                <w:sz w:val="24"/>
                <w:szCs w:val="24"/>
              </w:rPr>
            </w:pPr>
            <w:r>
              <w:rPr>
                <w:rFonts w:hint="eastAsia" w:ascii="仿宋" w:hAnsi="仿宋" w:eastAsia="仿宋" w:cs="仿宋"/>
                <w:kern w:val="0"/>
                <w:sz w:val="24"/>
                <w:szCs w:val="24"/>
              </w:rPr>
              <w:t>（95）电源插座须有效固定；</w:t>
            </w:r>
          </w:p>
          <w:p>
            <w:pPr>
              <w:rPr>
                <w:rFonts w:hint="eastAsia" w:ascii="仿宋" w:hAnsi="仿宋" w:eastAsia="仿宋" w:cs="仿宋"/>
                <w:kern w:val="0"/>
                <w:sz w:val="24"/>
                <w:szCs w:val="24"/>
              </w:rPr>
            </w:pPr>
            <w:r>
              <w:rPr>
                <w:rFonts w:hint="eastAsia" w:ascii="仿宋" w:hAnsi="仿宋" w:eastAsia="仿宋" w:cs="仿宋"/>
                <w:kern w:val="0"/>
                <w:sz w:val="24"/>
                <w:szCs w:val="24"/>
              </w:rPr>
              <w:t>（96）电气设备应配备空气开关和漏电保护器；</w:t>
            </w:r>
          </w:p>
          <w:p>
            <w:pPr>
              <w:rPr>
                <w:rFonts w:hint="eastAsia" w:ascii="仿宋" w:hAnsi="仿宋" w:eastAsia="仿宋" w:cs="仿宋"/>
                <w:kern w:val="0"/>
                <w:sz w:val="24"/>
                <w:szCs w:val="24"/>
              </w:rPr>
            </w:pPr>
            <w:r>
              <w:rPr>
                <w:rFonts w:hint="eastAsia" w:ascii="仿宋" w:hAnsi="仿宋" w:eastAsia="仿宋" w:cs="仿宋"/>
                <w:kern w:val="0"/>
                <w:sz w:val="24"/>
                <w:szCs w:val="24"/>
              </w:rPr>
              <w:t>（97）不私自乱拉乱接电线电缆，禁止多个接线板串接供电，接线板不宜直接置于地面；</w:t>
            </w:r>
          </w:p>
          <w:p>
            <w:pPr>
              <w:rPr>
                <w:rFonts w:hint="eastAsia" w:ascii="仿宋" w:hAnsi="仿宋" w:eastAsia="仿宋" w:cs="仿宋"/>
                <w:kern w:val="0"/>
                <w:sz w:val="24"/>
                <w:szCs w:val="24"/>
              </w:rPr>
            </w:pPr>
            <w:r>
              <w:rPr>
                <w:rFonts w:hint="eastAsia" w:ascii="仿宋" w:hAnsi="仿宋" w:eastAsia="仿宋" w:cs="仿宋"/>
                <w:kern w:val="0"/>
                <w:sz w:val="24"/>
                <w:szCs w:val="24"/>
              </w:rPr>
              <w:t>（98）禁止使用老化的线缆、花线、木质配电板、有破损的接线板，电线接头绝缘可靠，无裸露连接线，穿越通道的线缆应有盖板或护套，不使用老国标接线板；</w:t>
            </w:r>
          </w:p>
          <w:p>
            <w:pPr>
              <w:rPr>
                <w:rFonts w:hint="eastAsia" w:ascii="仿宋" w:hAnsi="仿宋" w:eastAsia="仿宋" w:cs="仿宋"/>
                <w:kern w:val="0"/>
                <w:sz w:val="24"/>
                <w:szCs w:val="24"/>
              </w:rPr>
            </w:pPr>
            <w:r>
              <w:rPr>
                <w:rFonts w:hint="eastAsia" w:ascii="仿宋" w:hAnsi="仿宋" w:eastAsia="仿宋" w:cs="仿宋"/>
                <w:kern w:val="0"/>
                <w:sz w:val="24"/>
                <w:szCs w:val="24"/>
              </w:rPr>
              <w:t>（99）大功率仪器（包括空调等）使用专用插座（不可使用接线板）；</w:t>
            </w:r>
          </w:p>
          <w:p>
            <w:pPr>
              <w:rPr>
                <w:rFonts w:hint="eastAsia" w:ascii="仿宋" w:hAnsi="仿宋" w:eastAsia="仿宋" w:cs="仿宋"/>
                <w:kern w:val="0"/>
                <w:sz w:val="24"/>
                <w:szCs w:val="24"/>
              </w:rPr>
            </w:pPr>
            <w:r>
              <w:rPr>
                <w:rFonts w:hint="eastAsia" w:ascii="仿宋" w:hAnsi="仿宋" w:eastAsia="仿宋" w:cs="仿宋"/>
                <w:kern w:val="0"/>
                <w:sz w:val="24"/>
                <w:szCs w:val="24"/>
              </w:rPr>
              <w:t>（100）电器长期不用时，应切断电源；</w:t>
            </w:r>
          </w:p>
          <w:p>
            <w:pPr>
              <w:rPr>
                <w:rFonts w:hint="eastAsia" w:ascii="仿宋" w:hAnsi="仿宋" w:eastAsia="仿宋" w:cs="仿宋"/>
                <w:bCs/>
                <w:kern w:val="0"/>
                <w:sz w:val="24"/>
                <w:szCs w:val="24"/>
              </w:rPr>
            </w:pPr>
            <w:r>
              <w:rPr>
                <w:rFonts w:hint="eastAsia" w:ascii="仿宋" w:hAnsi="仿宋" w:eastAsia="仿宋" w:cs="仿宋"/>
                <w:kern w:val="0"/>
                <w:sz w:val="24"/>
                <w:szCs w:val="24"/>
              </w:rPr>
              <w:t>（101）配电箱前不应有物品遮挡并便于操作，周围不应放置烘箱、电炉、易燃易爆气瓶、废液桶等；配电箱的金属箱体应与箱内保护零线或保护地线可靠连接</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7.1.2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给水、排水系统布置合理，运行正常</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（102）水槽、地漏及下水道畅通，水龙头、上下水管无破损；</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（103）各类连接管无老化破损（特别是冷却冷凝系统的橡胶管接口处）；</w:t>
            </w:r>
          </w:p>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（104）各楼层及实验室的各级水管总阀需有明显的标识</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7.2</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个人防护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7.2.1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实验人员需配备合适的个人防护用品</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（105）进入实验室人员需穿着质地合适的实验服或防护服；</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（106）按需要佩戴防护眼镜、防护手套、安全帽、防护帽、呼吸器或面罩（呼吸器或面罩在有效期内，不用时须密封放置）等；</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（107）进行化学、生物安全和高温实验时，不得佩戴隐形眼镜；</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（108）操作机床等旋转设备时，不得穿戴长围巾、丝巾、领带等，长发需盘在工作帽内；</w:t>
            </w:r>
          </w:p>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（109）穿着化学、生物类实验服或戴实验手套，不得随意进入非实验区</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7.2.2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个人防护用品分散存放，存放地点有明显标识</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（110）在紧急情况需使用的防化服等个人防护器具应分散存放在安全场所，以便于取用</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7.2.3</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各类个人防护用品的使用有培训及定期检查维护记录</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（111）检查培训及维护记录</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b/>
                <w:bCs/>
                <w:kern w:val="0"/>
                <w:sz w:val="24"/>
                <w:szCs w:val="24"/>
              </w:rPr>
              <w:t>7.3</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lang w:eastAsia="zh-CN"/>
              </w:rPr>
            </w:pPr>
            <w:r>
              <w:rPr>
                <w:rFonts w:hint="eastAsia" w:ascii="仿宋" w:hAnsi="仿宋" w:eastAsia="仿宋" w:cs="仿宋"/>
                <w:b/>
                <w:kern w:val="0"/>
                <w:sz w:val="24"/>
                <w:szCs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7.3.1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危险性实验（如高温、高压、高速运转等）时必须有两人在场</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（112）实验时不能脱岗，通宵实验须两人在场并有事先审批制度</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7.3.2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实验台面整洁、实验记录规范</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（113）查看实验台面和实验记录</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8</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8.1</w:t>
            </w:r>
          </w:p>
        </w:tc>
        <w:tc>
          <w:tcPr>
            <w:tcW w:w="14023" w:type="dxa"/>
            <w:gridSpan w:val="3"/>
            <w:tcMar>
              <w:left w:w="45" w:type="dxa"/>
              <w:right w:w="45" w:type="dxa"/>
            </w:tcMar>
            <w:vAlign w:val="center"/>
          </w:tcPr>
          <w:p>
            <w:pPr>
              <w:widowControl/>
              <w:spacing w:line="300" w:lineRule="exact"/>
              <w:rPr>
                <w:rFonts w:hint="eastAsia" w:ascii="仿宋" w:hAnsi="仿宋" w:eastAsia="仿宋" w:cs="仿宋"/>
                <w:b/>
                <w:bCs/>
                <w:kern w:val="0"/>
                <w:sz w:val="24"/>
                <w:szCs w:val="24"/>
              </w:rPr>
            </w:pPr>
            <w:r>
              <w:rPr>
                <w:rFonts w:hint="eastAsia" w:ascii="仿宋" w:hAnsi="仿宋" w:eastAsia="仿宋" w:cs="仿宋"/>
                <w:b/>
                <w:bCs/>
                <w:kern w:val="0"/>
                <w:sz w:val="24"/>
                <w:szCs w:val="24"/>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8.1.1</w:t>
            </w:r>
          </w:p>
        </w:tc>
        <w:tc>
          <w:tcPr>
            <w:tcW w:w="3820" w:type="dxa"/>
            <w:tcMar>
              <w:left w:w="45" w:type="dxa"/>
              <w:right w:w="45" w:type="dxa"/>
            </w:tcMar>
            <w:vAlign w:val="center"/>
          </w:tcPr>
          <w:p>
            <w:pPr>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危险化学品采购需要符合要求</w:t>
            </w:r>
          </w:p>
        </w:tc>
        <w:tc>
          <w:tcPr>
            <w:tcW w:w="8841" w:type="dxa"/>
            <w:tcMar>
              <w:left w:w="45" w:type="dxa"/>
              <w:right w:w="45" w:type="dxa"/>
            </w:tcMar>
            <w:vAlign w:val="center"/>
          </w:tcPr>
          <w:p>
            <w:pPr>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（114）危险化学品须向具有生产经营许可资质的单位进行购买，查看相关供应商的经营许可资质证书复印件</w:t>
            </w:r>
          </w:p>
        </w:tc>
        <w:tc>
          <w:tcPr>
            <w:tcW w:w="1362" w:type="dxa"/>
            <w:tcMar>
              <w:left w:w="45" w:type="dxa"/>
              <w:right w:w="45" w:type="dxa"/>
            </w:tcMar>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8.1.2</w:t>
            </w:r>
          </w:p>
        </w:tc>
        <w:tc>
          <w:tcPr>
            <w:tcW w:w="3820" w:type="dxa"/>
            <w:tcMar>
              <w:left w:w="45" w:type="dxa"/>
              <w:right w:w="45" w:type="dxa"/>
            </w:tcMar>
            <w:vAlign w:val="center"/>
          </w:tcPr>
          <w:p>
            <w:pPr>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剧毒品、易制毒品、易制爆品、爆炸品的购买程序合规</w:t>
            </w:r>
          </w:p>
        </w:tc>
        <w:tc>
          <w:tcPr>
            <w:tcW w:w="8841" w:type="dxa"/>
            <w:tcMar>
              <w:left w:w="45" w:type="dxa"/>
              <w:right w:w="45" w:type="dxa"/>
            </w:tcMar>
            <w:vAlign w:val="center"/>
          </w:tcPr>
          <w:p>
            <w:pPr>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（115）购买前须经学校审批，报公安部门批准或备案后，向具有经营许可资质的单位购买，并保留报批及审批记录；</w:t>
            </w:r>
          </w:p>
          <w:p>
            <w:pPr>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（116）建立购买、验收、使用等台账资料；</w:t>
            </w:r>
          </w:p>
          <w:p>
            <w:pPr>
              <w:spacing w:line="300" w:lineRule="exact"/>
              <w:rPr>
                <w:rFonts w:hint="eastAsia" w:ascii="仿宋" w:hAnsi="仿宋" w:eastAsia="仿宋" w:cs="仿宋"/>
                <w:b/>
                <w:bCs/>
                <w:kern w:val="0"/>
                <w:sz w:val="24"/>
                <w:szCs w:val="24"/>
              </w:rPr>
            </w:pPr>
            <w:r>
              <w:rPr>
                <w:rFonts w:hint="eastAsia" w:ascii="仿宋" w:hAnsi="仿宋" w:eastAsia="仿宋" w:cs="仿宋"/>
                <w:kern w:val="0"/>
                <w:sz w:val="24"/>
                <w:szCs w:val="24"/>
              </w:rPr>
              <w:t>（117）不得私自从外单位获取管制化学品</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8.1.3</w:t>
            </w:r>
          </w:p>
        </w:tc>
        <w:tc>
          <w:tcPr>
            <w:tcW w:w="3820" w:type="dxa"/>
            <w:tcMar>
              <w:left w:w="45" w:type="dxa"/>
              <w:right w:w="45" w:type="dxa"/>
            </w:tcMar>
            <w:vAlign w:val="center"/>
          </w:tcPr>
          <w:p>
            <w:pPr>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麻醉药品、精神药品等购买前须向食品药品监督管理部门申请</w:t>
            </w:r>
          </w:p>
        </w:tc>
        <w:tc>
          <w:tcPr>
            <w:tcW w:w="8841" w:type="dxa"/>
            <w:tcMar>
              <w:left w:w="45" w:type="dxa"/>
              <w:right w:w="45" w:type="dxa"/>
            </w:tcMar>
            <w:vAlign w:val="center"/>
          </w:tcPr>
          <w:p>
            <w:pPr>
              <w:spacing w:line="300" w:lineRule="exact"/>
              <w:rPr>
                <w:rFonts w:hint="eastAsia" w:ascii="仿宋" w:hAnsi="仿宋" w:eastAsia="仿宋" w:cs="仿宋"/>
                <w:b/>
                <w:bCs/>
                <w:kern w:val="0"/>
                <w:sz w:val="24"/>
                <w:szCs w:val="24"/>
              </w:rPr>
            </w:pPr>
            <w:r>
              <w:rPr>
                <w:rFonts w:hint="eastAsia" w:ascii="仿宋" w:hAnsi="仿宋" w:eastAsia="仿宋" w:cs="仿宋"/>
                <w:kern w:val="0"/>
                <w:sz w:val="24"/>
                <w:szCs w:val="24"/>
              </w:rPr>
              <w:t>（118）报批同意后向定点供应商或者定点生产企业采购</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8.1.4</w:t>
            </w:r>
          </w:p>
        </w:tc>
        <w:tc>
          <w:tcPr>
            <w:tcW w:w="3820" w:type="dxa"/>
            <w:tcMar>
              <w:left w:w="45" w:type="dxa"/>
              <w:right w:w="45" w:type="dxa"/>
            </w:tcMar>
            <w:vAlign w:val="center"/>
          </w:tcPr>
          <w:p>
            <w:pPr>
              <w:autoSpaceDE w:val="0"/>
              <w:autoSpaceDN w:val="0"/>
              <w:adjustRightInd w:val="0"/>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保障化学品、气体运输安全</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（119）现场抽查，校园内的运输车辆、运送人员、送货方式等符合相关规范</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8.2</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8.2.1</w:t>
            </w:r>
          </w:p>
        </w:tc>
        <w:tc>
          <w:tcPr>
            <w:tcW w:w="3820"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kern w:val="0"/>
                <w:sz w:val="24"/>
                <w:szCs w:val="24"/>
              </w:rPr>
              <w:t>实验室内危险化学品建有动态台账</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（120）建立实验室危险化学品动态台账，并有危险化学品安全技术说明书（MSDS）或安全周知卡，方便查阅；</w:t>
            </w:r>
          </w:p>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（121）定期清理废旧试剂，无累积现象</w:t>
            </w:r>
          </w:p>
        </w:tc>
        <w:tc>
          <w:tcPr>
            <w:tcW w:w="1362" w:type="dxa"/>
            <w:tcMar>
              <w:left w:w="45" w:type="dxa"/>
              <w:right w:w="45" w:type="dxa"/>
            </w:tcMar>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8.2.2</w:t>
            </w:r>
          </w:p>
        </w:tc>
        <w:tc>
          <w:tcPr>
            <w:tcW w:w="3820" w:type="dxa"/>
            <w:tcMar>
              <w:left w:w="45" w:type="dxa"/>
              <w:right w:w="45" w:type="dxa"/>
            </w:tcMar>
            <w:vAlign w:val="center"/>
          </w:tcPr>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化学品有专用存放空间并科学有序存放</w:t>
            </w:r>
          </w:p>
        </w:tc>
        <w:tc>
          <w:tcPr>
            <w:tcW w:w="8841" w:type="dxa"/>
            <w:tcMar>
              <w:left w:w="45" w:type="dxa"/>
              <w:right w:w="45" w:type="dxa"/>
            </w:tcMar>
            <w:vAlign w:val="center"/>
          </w:tcPr>
          <w:p>
            <w:pPr>
              <w:widowControl/>
              <w:rPr>
                <w:rFonts w:hint="eastAsia" w:ascii="仿宋" w:hAnsi="仿宋" w:eastAsia="仿宋" w:cs="仿宋"/>
                <w:kern w:val="0"/>
                <w:sz w:val="24"/>
                <w:szCs w:val="24"/>
              </w:rPr>
            </w:pPr>
            <w:r>
              <w:rPr>
                <w:rFonts w:hint="eastAsia" w:ascii="仿宋" w:hAnsi="仿宋" w:eastAsia="仿宋" w:cs="仿宋"/>
                <w:sz w:val="24"/>
                <w:szCs w:val="24"/>
              </w:rPr>
              <w:t>（122）储藏室、储藏区、储存柜等</w:t>
            </w:r>
            <w:r>
              <w:rPr>
                <w:rFonts w:hint="eastAsia" w:ascii="仿宋" w:hAnsi="仿宋" w:eastAsia="仿宋" w:cs="仿宋"/>
                <w:bCs/>
                <w:kern w:val="0"/>
                <w:sz w:val="24"/>
                <w:szCs w:val="24"/>
              </w:rPr>
              <w:t>应</w:t>
            </w:r>
            <w:r>
              <w:rPr>
                <w:rFonts w:hint="eastAsia" w:ascii="仿宋" w:hAnsi="仿宋" w:eastAsia="仿宋" w:cs="仿宋"/>
                <w:kern w:val="0"/>
                <w:sz w:val="24"/>
                <w:szCs w:val="24"/>
              </w:rPr>
              <w:t>通风、隔热、避光、安全；</w:t>
            </w:r>
          </w:p>
          <w:p>
            <w:pPr>
              <w:widowControl/>
              <w:rPr>
                <w:rFonts w:hint="eastAsia" w:ascii="仿宋" w:hAnsi="仿宋" w:eastAsia="仿宋" w:cs="仿宋"/>
                <w:kern w:val="0"/>
                <w:sz w:val="24"/>
                <w:szCs w:val="24"/>
              </w:rPr>
            </w:pPr>
            <w:r>
              <w:rPr>
                <w:rFonts w:hint="eastAsia" w:ascii="仿宋" w:hAnsi="仿宋" w:eastAsia="仿宋" w:cs="仿宋"/>
                <w:kern w:val="0"/>
                <w:sz w:val="24"/>
                <w:szCs w:val="24"/>
              </w:rPr>
              <w:t>（123）易泄漏、易挥发的试剂存放设备与地点应保证充足的通风；</w:t>
            </w:r>
          </w:p>
          <w:p>
            <w:pPr>
              <w:widowControl/>
              <w:rPr>
                <w:rFonts w:hint="eastAsia" w:ascii="仿宋" w:hAnsi="仿宋" w:eastAsia="仿宋" w:cs="仿宋"/>
                <w:kern w:val="0"/>
                <w:sz w:val="24"/>
                <w:szCs w:val="24"/>
              </w:rPr>
            </w:pPr>
            <w:r>
              <w:rPr>
                <w:rFonts w:hint="eastAsia" w:ascii="仿宋" w:hAnsi="仿宋" w:eastAsia="仿宋" w:cs="仿宋"/>
                <w:kern w:val="0"/>
                <w:sz w:val="24"/>
                <w:szCs w:val="24"/>
              </w:rPr>
              <w:t>（124）试剂柜中不能有电源插座或接线板；</w:t>
            </w:r>
          </w:p>
          <w:p>
            <w:pPr>
              <w:widowControl/>
              <w:rPr>
                <w:rFonts w:hint="eastAsia" w:ascii="仿宋" w:hAnsi="仿宋" w:eastAsia="仿宋" w:cs="仿宋"/>
                <w:kern w:val="0"/>
                <w:sz w:val="24"/>
                <w:szCs w:val="24"/>
              </w:rPr>
            </w:pPr>
            <w:r>
              <w:rPr>
                <w:rFonts w:hint="eastAsia" w:ascii="仿宋" w:hAnsi="仿宋" w:eastAsia="仿宋" w:cs="仿宋"/>
                <w:kern w:val="0"/>
                <w:sz w:val="24"/>
                <w:szCs w:val="24"/>
              </w:rPr>
              <w:t>（125）化学品有序分类存放，固体液体不混乱放置，互为禁忌的化学品不得混放，试剂不得叠放。有机溶剂储存区应远离热源和火源。装有试剂的试剂瓶不得开口放置。实验台架无挡板不得存放化学试剂；</w:t>
            </w:r>
          </w:p>
          <w:p>
            <w:pPr>
              <w:widowControl/>
              <w:rPr>
                <w:rFonts w:hint="eastAsia" w:ascii="仿宋" w:hAnsi="仿宋" w:eastAsia="仿宋" w:cs="仿宋"/>
                <w:kern w:val="0"/>
                <w:sz w:val="24"/>
                <w:szCs w:val="24"/>
              </w:rPr>
            </w:pPr>
            <w:r>
              <w:rPr>
                <w:rFonts w:hint="eastAsia" w:ascii="仿宋" w:hAnsi="仿宋" w:eastAsia="仿宋" w:cs="仿宋"/>
                <w:kern w:val="0"/>
                <w:sz w:val="24"/>
                <w:szCs w:val="24"/>
              </w:rPr>
              <w:t>（126）配备必要的二次泄漏防护、吸附或防溢流功能</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8.2.3</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实验室内存放的危险化学品总量符合规定要求</w:t>
            </w:r>
          </w:p>
        </w:tc>
        <w:tc>
          <w:tcPr>
            <w:tcW w:w="8841" w:type="dxa"/>
            <w:tcMar>
              <w:left w:w="45" w:type="dxa"/>
              <w:right w:w="45" w:type="dxa"/>
            </w:tcMar>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（127）危险化学品（不含压缩气体和液化气体）原则上不应超过100公升或100千克，其中易燃易爆性化学品的存放总量不应超过50公升或50千克，且单一包装容器不应大于20公升或20千克（</w:t>
            </w:r>
            <w:r>
              <w:rPr>
                <w:rFonts w:hint="eastAsia" w:ascii="仿宋" w:hAnsi="仿宋" w:eastAsia="仿宋" w:cs="仿宋"/>
                <w:bCs/>
                <w:kern w:val="0"/>
                <w:sz w:val="24"/>
                <w:szCs w:val="24"/>
              </w:rPr>
              <w:t>按</w:t>
            </w:r>
            <w:r>
              <w:rPr>
                <w:rFonts w:hint="eastAsia" w:ascii="仿宋" w:hAnsi="仿宋" w:eastAsia="仿宋" w:cs="仿宋"/>
                <w:kern w:val="0"/>
                <w:sz w:val="24"/>
                <w:szCs w:val="24"/>
              </w:rPr>
              <w:t>50平方米</w:t>
            </w:r>
            <w:r>
              <w:rPr>
                <w:rFonts w:hint="eastAsia" w:ascii="仿宋" w:hAnsi="仿宋" w:eastAsia="仿宋" w:cs="仿宋"/>
                <w:bCs/>
                <w:kern w:val="0"/>
                <w:sz w:val="24"/>
                <w:szCs w:val="24"/>
              </w:rPr>
              <w:t>为</w:t>
            </w:r>
            <w:r>
              <w:rPr>
                <w:rFonts w:hint="eastAsia" w:ascii="仿宋" w:hAnsi="仿宋" w:eastAsia="仿宋" w:cs="仿宋"/>
                <w:kern w:val="0"/>
                <w:sz w:val="24"/>
                <w:szCs w:val="24"/>
              </w:rPr>
              <w:t>标准，存放量以</w:t>
            </w:r>
            <w:r>
              <w:rPr>
                <w:rFonts w:hint="eastAsia" w:ascii="仿宋" w:hAnsi="仿宋" w:eastAsia="仿宋" w:cs="仿宋"/>
                <w:bCs/>
                <w:kern w:val="0"/>
                <w:sz w:val="24"/>
                <w:szCs w:val="24"/>
              </w:rPr>
              <w:t>实验室</w:t>
            </w:r>
            <w:r>
              <w:rPr>
                <w:rFonts w:hint="eastAsia" w:ascii="仿宋" w:hAnsi="仿宋" w:eastAsia="仿宋" w:cs="仿宋"/>
                <w:kern w:val="0"/>
                <w:sz w:val="24"/>
                <w:szCs w:val="24"/>
              </w:rPr>
              <w:t>面积比考量）；</w:t>
            </w:r>
          </w:p>
          <w:p>
            <w:pPr>
              <w:rPr>
                <w:rFonts w:hint="eastAsia" w:ascii="仿宋" w:hAnsi="仿宋" w:eastAsia="仿宋" w:cs="仿宋"/>
                <w:bCs/>
                <w:kern w:val="0"/>
                <w:sz w:val="24"/>
                <w:szCs w:val="24"/>
              </w:rPr>
            </w:pPr>
            <w:r>
              <w:rPr>
                <w:rFonts w:hint="eastAsia" w:ascii="仿宋" w:hAnsi="仿宋" w:eastAsia="仿宋" w:cs="仿宋"/>
                <w:kern w:val="0"/>
                <w:sz w:val="24"/>
                <w:szCs w:val="24"/>
              </w:rPr>
              <w:t>（128）单个实验装置存在10公升以上甲类物质储罐，或20公升以上乙类物质储罐，或50公升以上丙类物质储罐时，需加装泄露报警器及通风联动装置</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8.2.4</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化学品标签应显著完整清晰</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（129）化学品包装物上应有符合规定的化学品标签；</w:t>
            </w:r>
          </w:p>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（130）当化学品由原包装物转移或分装到其他包装物内时，转移或分装后的包装物应及时重新粘贴标识。化学品标签脱落、</w:t>
            </w:r>
            <w:r>
              <w:rPr>
                <w:rFonts w:hint="eastAsia" w:ascii="仿宋" w:hAnsi="仿宋" w:eastAsia="仿宋" w:cs="仿宋"/>
                <w:bCs/>
                <w:kern w:val="0"/>
                <w:sz w:val="24"/>
                <w:szCs w:val="24"/>
              </w:rPr>
              <w:t>模糊、腐蚀</w:t>
            </w:r>
            <w:r>
              <w:rPr>
                <w:rFonts w:hint="eastAsia" w:ascii="仿宋" w:hAnsi="仿宋" w:eastAsia="仿宋" w:cs="仿宋"/>
                <w:kern w:val="0"/>
                <w:sz w:val="24"/>
                <w:szCs w:val="24"/>
              </w:rPr>
              <w:t>后应及时补上，如不能确认，则以不明废弃化学品处置</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8.3</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8.3.1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制定危险实验、危险化工工艺指导书、各类标准操作规程（SOP）、应急预案</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（131）指导书和预案上墙或便于取阅，实验人员熟悉所涉及的危险性及应急处理措施，按照指导书进行实验</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8.3.2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危险化工工艺和装置应设置自动控制和电源冗余设计</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（132）涉及危险化工工艺、重点监管危险化学品的反应装置应设置自动化控制系统；</w:t>
            </w:r>
          </w:p>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（133）涉及放热反应的危险化工工艺生产装置应设置双重电源供电或控制系统应配置不间断电源</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8.3.3</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做好有毒有害废气的处理和防护</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（134）对于产生有毒有害废气的实验，须在通风柜中进行，并在实验装置尾端配有气体吸收装置，配备合适有效的呼吸器</w:t>
            </w:r>
          </w:p>
        </w:tc>
        <w:tc>
          <w:tcPr>
            <w:tcW w:w="1362" w:type="dxa"/>
            <w:tcMar>
              <w:left w:w="45" w:type="dxa"/>
              <w:right w:w="45" w:type="dxa"/>
            </w:tcMar>
            <w:vAlign w:val="center"/>
          </w:tcPr>
          <w:p>
            <w:pPr>
              <w:widowControl/>
              <w:spacing w:line="300" w:lineRule="exact"/>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8.4</w:t>
            </w:r>
          </w:p>
        </w:tc>
        <w:tc>
          <w:tcPr>
            <w:tcW w:w="14023" w:type="dxa"/>
            <w:gridSpan w:val="3"/>
            <w:tcMar>
              <w:left w:w="45" w:type="dxa"/>
              <w:right w:w="45" w:type="dxa"/>
            </w:tcMar>
            <w:vAlign w:val="center"/>
          </w:tcPr>
          <w:p>
            <w:pPr>
              <w:spacing w:line="300" w:lineRule="exact"/>
              <w:rPr>
                <w:rFonts w:hint="eastAsia" w:ascii="仿宋" w:hAnsi="仿宋" w:eastAsia="仿宋" w:cs="仿宋"/>
                <w:b/>
                <w:sz w:val="24"/>
                <w:szCs w:val="24"/>
              </w:rPr>
            </w:pPr>
            <w:r>
              <w:rPr>
                <w:rFonts w:hint="eastAsia" w:ascii="仿宋" w:hAnsi="仿宋" w:eastAsia="仿宋" w:cs="仿宋"/>
                <w:b/>
                <w:kern w:val="0"/>
                <w:sz w:val="24"/>
                <w:szCs w:val="24"/>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8.4.1</w:t>
            </w:r>
          </w:p>
        </w:tc>
        <w:tc>
          <w:tcPr>
            <w:tcW w:w="3820" w:type="dxa"/>
            <w:tcMar>
              <w:left w:w="45" w:type="dxa"/>
              <w:right w:w="45" w:type="dxa"/>
            </w:tcMar>
            <w:vAlign w:val="center"/>
          </w:tcPr>
          <w:p>
            <w:pPr>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剧毒化学品执行“五双”管理</w:t>
            </w:r>
            <w:r>
              <w:rPr>
                <w:rFonts w:hint="eastAsia" w:ascii="仿宋" w:hAnsi="仿宋" w:eastAsia="仿宋" w:cs="仿宋"/>
                <w:bCs/>
                <w:kern w:val="0"/>
                <w:sz w:val="24"/>
                <w:szCs w:val="24"/>
              </w:rPr>
              <w:t>（即双人验收、双人保管、双人发货、双把锁、双本账）</w:t>
            </w:r>
            <w:r>
              <w:rPr>
                <w:rFonts w:hint="eastAsia" w:ascii="仿宋" w:hAnsi="仿宋" w:eastAsia="仿宋" w:cs="仿宋"/>
                <w:kern w:val="0"/>
                <w:sz w:val="24"/>
                <w:szCs w:val="24"/>
              </w:rPr>
              <w:t>，技防措施符合管制要求</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（135）单独存放、不得与易燃、易爆、腐蚀性物品等一起存放；</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（136）有专人管理并做好贮存、领取、发放情况登记，登记资料至少保存1年；</w:t>
            </w:r>
          </w:p>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（137）防盗安全门应符合GB17565的要求，防盗安全级别为乙级（含）以上，防盗锁应符合GA/T73的要求，防盗保险柜应符合《防盗保险柜》GB10409-2001的要求，监控管控执行公安要求</w:t>
            </w:r>
          </w:p>
        </w:tc>
        <w:tc>
          <w:tcPr>
            <w:tcW w:w="1362" w:type="dxa"/>
            <w:tcMar>
              <w:left w:w="45" w:type="dxa"/>
              <w:right w:w="45" w:type="dxa"/>
            </w:tcMar>
            <w:vAlign w:val="center"/>
          </w:tcPr>
          <w:p>
            <w:pPr>
              <w:widowControl/>
              <w:spacing w:line="300" w:lineRule="exact"/>
              <w:rPr>
                <w:rFonts w:hint="eastAsia" w:ascii="仿宋" w:hAnsi="仿宋" w:eastAsia="仿宋" w:cs="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8.4.2</w:t>
            </w:r>
          </w:p>
        </w:tc>
        <w:tc>
          <w:tcPr>
            <w:tcW w:w="3820" w:type="dxa"/>
            <w:tcMar>
              <w:left w:w="45" w:type="dxa"/>
              <w:right w:w="45" w:type="dxa"/>
            </w:tcMar>
            <w:vAlign w:val="center"/>
          </w:tcPr>
          <w:p>
            <w:pPr>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麻醉药品和第一类精神药品管理符合“双人双锁”，有专用账册</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（138）设立专库或者专柜储存，专库应当设有防盗设施并安装报警装置，专柜应当使用保险柜，专库和专柜应当实行双人双锁管理；</w:t>
            </w:r>
          </w:p>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（139）配备专人管理并建立专用账册，专用账册的保存期限应当自药品有效期期满之日起不少于5年</w:t>
            </w:r>
          </w:p>
        </w:tc>
        <w:tc>
          <w:tcPr>
            <w:tcW w:w="1362" w:type="dxa"/>
            <w:tcMar>
              <w:left w:w="45" w:type="dxa"/>
              <w:right w:w="45" w:type="dxa"/>
            </w:tcMar>
            <w:vAlign w:val="center"/>
          </w:tcPr>
          <w:p>
            <w:pPr>
              <w:widowControl/>
              <w:spacing w:line="300" w:lineRule="exact"/>
              <w:rPr>
                <w:rFonts w:hint="eastAsia" w:ascii="仿宋" w:hAnsi="仿宋" w:eastAsia="仿宋" w:cs="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8.4.3</w:t>
            </w:r>
          </w:p>
        </w:tc>
        <w:tc>
          <w:tcPr>
            <w:tcW w:w="3820" w:type="dxa"/>
            <w:tcMar>
              <w:left w:w="45" w:type="dxa"/>
              <w:right w:w="45" w:type="dxa"/>
            </w:tcMar>
            <w:vAlign w:val="center"/>
          </w:tcPr>
          <w:p>
            <w:pPr>
              <w:spacing w:line="300" w:lineRule="exact"/>
              <w:rPr>
                <w:rFonts w:hint="eastAsia" w:ascii="仿宋" w:hAnsi="仿宋" w:eastAsia="仿宋" w:cs="仿宋"/>
                <w:sz w:val="24"/>
                <w:szCs w:val="24"/>
              </w:rPr>
            </w:pPr>
            <w:r>
              <w:rPr>
                <w:rFonts w:hint="eastAsia" w:ascii="仿宋" w:hAnsi="仿宋" w:eastAsia="仿宋" w:cs="仿宋"/>
                <w:kern w:val="0"/>
                <w:sz w:val="24"/>
                <w:szCs w:val="24"/>
              </w:rPr>
              <w:t>易制爆化学品存量合规、双人双锁保管</w:t>
            </w:r>
          </w:p>
          <w:p>
            <w:pPr>
              <w:widowControl/>
              <w:spacing w:line="300" w:lineRule="exact"/>
              <w:rPr>
                <w:rFonts w:hint="eastAsia" w:ascii="仿宋" w:hAnsi="仿宋" w:eastAsia="仿宋" w:cs="仿宋"/>
                <w:kern w:val="0"/>
                <w:sz w:val="24"/>
                <w:szCs w:val="24"/>
              </w:rPr>
            </w:pP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（140）存放场所出入口应设置防盗安全门，或存放在专用储存柜内，储存场所防盗安全级别应为乙级（含）以上，专用储存柜应具有防盗功能，符合双人双锁管理要求，台账账册保存期限不少于1年</w:t>
            </w:r>
          </w:p>
        </w:tc>
        <w:tc>
          <w:tcPr>
            <w:tcW w:w="1362" w:type="dxa"/>
            <w:tcMar>
              <w:left w:w="45" w:type="dxa"/>
              <w:right w:w="45" w:type="dxa"/>
            </w:tcMar>
            <w:vAlign w:val="center"/>
          </w:tcPr>
          <w:p>
            <w:pPr>
              <w:widowControl/>
              <w:spacing w:line="300" w:lineRule="exact"/>
              <w:rPr>
                <w:rFonts w:hint="eastAsia" w:ascii="仿宋" w:hAnsi="仿宋" w:eastAsia="仿宋" w:cs="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8.4.4</w:t>
            </w:r>
          </w:p>
        </w:tc>
        <w:tc>
          <w:tcPr>
            <w:tcW w:w="3820" w:type="dxa"/>
            <w:tcMar>
              <w:left w:w="45" w:type="dxa"/>
              <w:right w:w="45" w:type="dxa"/>
            </w:tcMar>
            <w:vAlign w:val="center"/>
          </w:tcPr>
          <w:p>
            <w:pPr>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易制毒化学品储存规范，台账清晰</w:t>
            </w:r>
          </w:p>
          <w:p>
            <w:pPr>
              <w:widowControl/>
              <w:spacing w:line="300" w:lineRule="exact"/>
              <w:rPr>
                <w:rFonts w:hint="eastAsia" w:ascii="仿宋" w:hAnsi="仿宋" w:eastAsia="仿宋" w:cs="仿宋"/>
                <w:kern w:val="0"/>
                <w:sz w:val="24"/>
                <w:szCs w:val="24"/>
              </w:rPr>
            </w:pP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（141）设置专库或者专柜储存，专库应当设有防盗设施；</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（142）第一类易制毒化学品、药品类易制毒化学品实现双人双锁管理，账册保存期限不少于2年。第二、三类易制毒品实行上锁管理，并记录台账</w:t>
            </w:r>
          </w:p>
        </w:tc>
        <w:tc>
          <w:tcPr>
            <w:tcW w:w="1362" w:type="dxa"/>
            <w:tcMar>
              <w:left w:w="45" w:type="dxa"/>
              <w:right w:w="45" w:type="dxa"/>
            </w:tcMar>
            <w:vAlign w:val="center"/>
          </w:tcPr>
          <w:p>
            <w:pPr>
              <w:widowControl/>
              <w:spacing w:line="300" w:lineRule="exact"/>
              <w:rPr>
                <w:rFonts w:hint="eastAsia" w:ascii="仿宋" w:hAnsi="仿宋" w:eastAsia="仿宋" w:cs="仿宋"/>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8.4.5</w:t>
            </w:r>
          </w:p>
        </w:tc>
        <w:tc>
          <w:tcPr>
            <w:tcW w:w="3820" w:type="dxa"/>
            <w:tcMar>
              <w:left w:w="45" w:type="dxa"/>
              <w:right w:w="45" w:type="dxa"/>
            </w:tcMar>
            <w:vAlign w:val="center"/>
          </w:tcPr>
          <w:p>
            <w:pPr>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爆炸品单独隔离、限量存储，使用、销毁按照公安部门要求执行</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（143）收存和发放民用爆炸物品必须进行登记，做到账目清楚，账物相符</w:t>
            </w:r>
          </w:p>
        </w:tc>
        <w:tc>
          <w:tcPr>
            <w:tcW w:w="1362" w:type="dxa"/>
            <w:tcMar>
              <w:left w:w="45" w:type="dxa"/>
              <w:right w:w="45" w:type="dxa"/>
            </w:tcMar>
            <w:vAlign w:val="center"/>
          </w:tcPr>
          <w:p>
            <w:pPr>
              <w:widowControl/>
              <w:spacing w:line="300" w:lineRule="exact"/>
              <w:jc w:val="left"/>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8.5</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8.5.1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从合格供应商处采购实验气体，建立气体钢瓶台账</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（144）查看记录</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8.5.2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气体的存放和使用符合相关要求</w:t>
            </w:r>
          </w:p>
        </w:tc>
        <w:tc>
          <w:tcPr>
            <w:tcW w:w="8841" w:type="dxa"/>
            <w:tcMar>
              <w:left w:w="45" w:type="dxa"/>
              <w:right w:w="45" w:type="dxa"/>
            </w:tcMar>
            <w:vAlign w:val="center"/>
          </w:tcPr>
          <w:p>
            <w:pPr>
              <w:rPr>
                <w:rFonts w:hint="eastAsia" w:ascii="仿宋" w:hAnsi="仿宋" w:eastAsia="仿宋" w:cs="仿宋"/>
                <w:sz w:val="24"/>
                <w:szCs w:val="24"/>
              </w:rPr>
            </w:pPr>
            <w:r>
              <w:rPr>
                <w:rFonts w:hint="eastAsia" w:ascii="仿宋" w:hAnsi="仿宋" w:eastAsia="仿宋" w:cs="仿宋"/>
                <w:kern w:val="0"/>
                <w:sz w:val="24"/>
                <w:szCs w:val="24"/>
              </w:rPr>
              <w:t>（145）气体钢瓶存放点须通风、远离热源、</w:t>
            </w:r>
            <w:r>
              <w:rPr>
                <w:rFonts w:hint="eastAsia" w:ascii="仿宋" w:hAnsi="仿宋" w:eastAsia="仿宋" w:cs="仿宋"/>
                <w:sz w:val="24"/>
                <w:szCs w:val="24"/>
              </w:rPr>
              <w:t>避免暴晒，地面平整干燥；</w:t>
            </w:r>
          </w:p>
          <w:p>
            <w:pPr>
              <w:rPr>
                <w:rFonts w:hint="eastAsia" w:ascii="仿宋" w:hAnsi="仿宋" w:eastAsia="仿宋" w:cs="仿宋"/>
                <w:kern w:val="0"/>
                <w:sz w:val="24"/>
                <w:szCs w:val="24"/>
              </w:rPr>
            </w:pPr>
            <w:r>
              <w:rPr>
                <w:rFonts w:hint="eastAsia" w:ascii="仿宋" w:hAnsi="仿宋" w:eastAsia="仿宋" w:cs="仿宋"/>
                <w:sz w:val="24"/>
                <w:szCs w:val="24"/>
              </w:rPr>
              <w:t>（146）</w:t>
            </w:r>
            <w:r>
              <w:rPr>
                <w:rFonts w:hint="eastAsia" w:ascii="仿宋" w:hAnsi="仿宋" w:eastAsia="仿宋" w:cs="仿宋"/>
                <w:kern w:val="0"/>
                <w:sz w:val="24"/>
                <w:szCs w:val="24"/>
              </w:rPr>
              <w:t>气瓶应合理固定；</w:t>
            </w:r>
          </w:p>
          <w:p>
            <w:pPr>
              <w:rPr>
                <w:rFonts w:hint="eastAsia" w:ascii="仿宋" w:hAnsi="仿宋" w:eastAsia="仿宋" w:cs="仿宋"/>
                <w:kern w:val="0"/>
                <w:sz w:val="24"/>
                <w:szCs w:val="24"/>
              </w:rPr>
            </w:pPr>
            <w:r>
              <w:rPr>
                <w:rFonts w:hint="eastAsia" w:ascii="仿宋" w:hAnsi="仿宋" w:eastAsia="仿宋" w:cs="仿宋"/>
                <w:kern w:val="0"/>
                <w:sz w:val="24"/>
                <w:szCs w:val="24"/>
              </w:rPr>
              <w:t>（147）危险气体钢瓶尽量置于室外，室内放置应使用常时排风且带监测报警装置的气瓶柜；</w:t>
            </w:r>
          </w:p>
          <w:p>
            <w:pPr>
              <w:rPr>
                <w:rFonts w:hint="eastAsia" w:ascii="仿宋" w:hAnsi="仿宋" w:eastAsia="仿宋" w:cs="仿宋"/>
                <w:kern w:val="0"/>
                <w:sz w:val="24"/>
                <w:szCs w:val="24"/>
              </w:rPr>
            </w:pPr>
            <w:r>
              <w:rPr>
                <w:rFonts w:hint="eastAsia" w:ascii="仿宋" w:hAnsi="仿宋" w:eastAsia="仿宋" w:cs="仿宋"/>
                <w:kern w:val="0"/>
                <w:sz w:val="24"/>
                <w:szCs w:val="24"/>
              </w:rPr>
              <w:t>（148）气瓶的存放应控制在最小需求量；</w:t>
            </w:r>
          </w:p>
          <w:p>
            <w:pPr>
              <w:rPr>
                <w:rFonts w:hint="eastAsia" w:ascii="仿宋" w:hAnsi="仿宋" w:eastAsia="仿宋" w:cs="仿宋"/>
                <w:kern w:val="0"/>
                <w:sz w:val="24"/>
                <w:szCs w:val="24"/>
              </w:rPr>
            </w:pPr>
            <w:r>
              <w:rPr>
                <w:rFonts w:hint="eastAsia" w:ascii="仿宋" w:hAnsi="仿宋" w:eastAsia="仿宋" w:cs="仿宋"/>
                <w:kern w:val="0"/>
                <w:sz w:val="24"/>
                <w:szCs w:val="24"/>
              </w:rPr>
              <w:t>（149）涉及有毒、可燃气体的场所，配有通风设施和相应的气体监测和报警装置等，张贴必要的安全警示标识；</w:t>
            </w:r>
          </w:p>
          <w:p>
            <w:pPr>
              <w:rPr>
                <w:rFonts w:hint="eastAsia" w:ascii="仿宋" w:hAnsi="仿宋" w:eastAsia="仿宋" w:cs="仿宋"/>
                <w:kern w:val="0"/>
                <w:sz w:val="24"/>
                <w:szCs w:val="24"/>
              </w:rPr>
            </w:pPr>
            <w:r>
              <w:rPr>
                <w:rFonts w:hint="eastAsia" w:ascii="仿宋" w:hAnsi="仿宋" w:eastAsia="仿宋" w:cs="仿宋"/>
                <w:kern w:val="0"/>
                <w:sz w:val="24"/>
                <w:szCs w:val="24"/>
              </w:rPr>
              <w:t>（150）可燃性气体与氧气等助燃气体钢瓶不得混放；</w:t>
            </w:r>
          </w:p>
          <w:p>
            <w:pPr>
              <w:rPr>
                <w:rFonts w:hint="eastAsia" w:ascii="仿宋" w:hAnsi="仿宋" w:eastAsia="仿宋" w:cs="仿宋"/>
                <w:kern w:val="0"/>
                <w:sz w:val="24"/>
                <w:szCs w:val="24"/>
              </w:rPr>
            </w:pPr>
            <w:r>
              <w:rPr>
                <w:rFonts w:hint="eastAsia" w:ascii="仿宋" w:hAnsi="仿宋" w:eastAsia="仿宋" w:cs="仿宋"/>
                <w:kern w:val="0"/>
                <w:sz w:val="24"/>
                <w:szCs w:val="24"/>
              </w:rPr>
              <w:t>（151）独立的气体钢瓶室应通风、不混放、有监控，有专人管理和记录；</w:t>
            </w:r>
          </w:p>
          <w:p>
            <w:pPr>
              <w:widowControl/>
              <w:rPr>
                <w:rFonts w:hint="eastAsia" w:ascii="仿宋" w:hAnsi="仿宋" w:eastAsia="仿宋" w:cs="仿宋"/>
                <w:kern w:val="0"/>
                <w:sz w:val="24"/>
                <w:szCs w:val="24"/>
              </w:rPr>
            </w:pPr>
            <w:r>
              <w:rPr>
                <w:rFonts w:hint="eastAsia" w:ascii="仿宋" w:hAnsi="仿宋" w:eastAsia="仿宋" w:cs="仿宋"/>
                <w:kern w:val="0"/>
                <w:sz w:val="24"/>
                <w:szCs w:val="24"/>
              </w:rPr>
              <w:t>（152）有供应商提供的钢瓶定期检验合格标识，无超过检验有效期的气瓶、无超过设计年限的气瓶；</w:t>
            </w:r>
          </w:p>
          <w:p>
            <w:pPr>
              <w:widowControl/>
              <w:rPr>
                <w:rFonts w:hint="eastAsia" w:ascii="仿宋" w:hAnsi="仿宋" w:eastAsia="仿宋" w:cs="仿宋"/>
                <w:kern w:val="0"/>
                <w:sz w:val="24"/>
                <w:szCs w:val="24"/>
              </w:rPr>
            </w:pPr>
            <w:r>
              <w:rPr>
                <w:rFonts w:hint="eastAsia" w:ascii="仿宋" w:hAnsi="仿宋" w:eastAsia="仿宋" w:cs="仿宋"/>
                <w:kern w:val="0"/>
                <w:sz w:val="24"/>
                <w:szCs w:val="24"/>
              </w:rPr>
              <w:t>（153）钢瓶气瓶颜色符合GB/T 7144 的规定要求，确认“满、使用中、空瓶”三种状态；</w:t>
            </w:r>
          </w:p>
          <w:p>
            <w:pPr>
              <w:rPr>
                <w:rFonts w:hint="eastAsia" w:ascii="仿宋" w:hAnsi="仿宋" w:eastAsia="仿宋" w:cs="仿宋"/>
                <w:kern w:val="0"/>
                <w:sz w:val="24"/>
                <w:szCs w:val="24"/>
              </w:rPr>
            </w:pPr>
            <w:r>
              <w:rPr>
                <w:rFonts w:hint="eastAsia" w:ascii="仿宋" w:hAnsi="仿宋" w:eastAsia="仿宋" w:cs="仿宋"/>
                <w:kern w:val="0"/>
                <w:sz w:val="24"/>
                <w:szCs w:val="24"/>
              </w:rPr>
              <w:t>（154）使用完毕，应及时关闭气瓶总阀；</w:t>
            </w:r>
          </w:p>
          <w:p>
            <w:pPr>
              <w:rPr>
                <w:rFonts w:hint="eastAsia" w:ascii="仿宋" w:hAnsi="仿宋" w:eastAsia="仿宋" w:cs="仿宋"/>
                <w:kern w:val="0"/>
                <w:sz w:val="24"/>
                <w:szCs w:val="24"/>
              </w:rPr>
            </w:pPr>
            <w:r>
              <w:rPr>
                <w:rFonts w:hint="eastAsia" w:ascii="仿宋" w:hAnsi="仿宋" w:eastAsia="仿宋" w:cs="仿宋"/>
                <w:kern w:val="0"/>
                <w:sz w:val="24"/>
                <w:szCs w:val="24"/>
              </w:rPr>
              <w:t>（155）钢瓶附件齐全，未在使用中的气瓶应有气瓶帽</w:t>
            </w:r>
          </w:p>
        </w:tc>
        <w:tc>
          <w:tcPr>
            <w:tcW w:w="1362" w:type="dxa"/>
            <w:tcMar>
              <w:left w:w="45" w:type="dxa"/>
              <w:right w:w="45" w:type="dxa"/>
            </w:tcMar>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8.5.3</w:t>
            </w:r>
          </w:p>
        </w:tc>
        <w:tc>
          <w:tcPr>
            <w:tcW w:w="3820" w:type="dxa"/>
            <w:tcMar>
              <w:left w:w="45" w:type="dxa"/>
              <w:right w:w="45" w:type="dxa"/>
            </w:tcMar>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较小密封空间使用可引起窒息的气体，需安装有氧含量监测，设置必要的气体报警装置</w:t>
            </w:r>
          </w:p>
        </w:tc>
        <w:tc>
          <w:tcPr>
            <w:tcW w:w="8841" w:type="dxa"/>
            <w:tcMar>
              <w:left w:w="45" w:type="dxa"/>
              <w:right w:w="45" w:type="dxa"/>
            </w:tcMar>
            <w:vAlign w:val="center"/>
          </w:tcPr>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（156）存有大量无毒窒息性压缩气体或液化气体（液氮、液氩）的较小密闭空间，为</w:t>
            </w:r>
            <w:r>
              <w:rPr>
                <w:rFonts w:hint="eastAsia" w:ascii="仿宋" w:hAnsi="仿宋" w:eastAsia="仿宋" w:cs="仿宋"/>
                <w:bCs/>
                <w:kern w:val="0"/>
                <w:sz w:val="24"/>
                <w:szCs w:val="24"/>
              </w:rPr>
              <w:t>防止大量泄漏或蒸发导致缺氧，</w:t>
            </w:r>
            <w:r>
              <w:rPr>
                <w:rFonts w:hint="eastAsia" w:ascii="仿宋" w:hAnsi="仿宋" w:eastAsia="仿宋" w:cs="仿宋"/>
                <w:sz w:val="24"/>
                <w:szCs w:val="24"/>
              </w:rPr>
              <w:t>须安装氧含量监测报警装置</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8.5.4</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气体管路和钢瓶连接正确、有清晰标识</w:t>
            </w:r>
          </w:p>
        </w:tc>
        <w:tc>
          <w:tcPr>
            <w:tcW w:w="8841" w:type="dxa"/>
            <w:tcMar>
              <w:left w:w="45" w:type="dxa"/>
              <w:right w:w="45" w:type="dxa"/>
            </w:tcMar>
            <w:vAlign w:val="center"/>
          </w:tcPr>
          <w:p>
            <w:pPr>
              <w:widowControl/>
              <w:rPr>
                <w:rFonts w:hint="eastAsia" w:ascii="仿宋" w:hAnsi="仿宋" w:eastAsia="仿宋" w:cs="仿宋"/>
                <w:bCs/>
                <w:kern w:val="0"/>
                <w:sz w:val="24"/>
                <w:szCs w:val="24"/>
              </w:rPr>
            </w:pPr>
            <w:r>
              <w:rPr>
                <w:rFonts w:hint="eastAsia" w:ascii="仿宋" w:hAnsi="仿宋" w:eastAsia="仿宋" w:cs="仿宋"/>
                <w:kern w:val="0"/>
                <w:sz w:val="24"/>
                <w:szCs w:val="24"/>
              </w:rPr>
              <w:t>（157）管路材质选择合适，无破损或老化现象，定期进行气密性检查；存在多条气体管路的房间须张贴详细的管路图，管路标识正确</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8.6</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化学废弃物处置管理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8.6.1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实验室应设立化学废弃物暂存区</w:t>
            </w:r>
          </w:p>
        </w:tc>
        <w:tc>
          <w:tcPr>
            <w:tcW w:w="8841" w:type="dxa"/>
            <w:tcMar>
              <w:left w:w="45" w:type="dxa"/>
              <w:right w:w="45" w:type="dxa"/>
            </w:tcMar>
            <w:vAlign w:val="center"/>
          </w:tcPr>
          <w:p>
            <w:pPr>
              <w:widowControl/>
              <w:rPr>
                <w:rFonts w:hint="eastAsia" w:ascii="仿宋" w:hAnsi="仿宋" w:eastAsia="仿宋" w:cs="仿宋"/>
                <w:kern w:val="0"/>
                <w:sz w:val="24"/>
                <w:szCs w:val="24"/>
              </w:rPr>
            </w:pPr>
            <w:r>
              <w:rPr>
                <w:rFonts w:hint="eastAsia" w:ascii="仿宋" w:hAnsi="仿宋" w:eastAsia="仿宋" w:cs="仿宋"/>
                <w:kern w:val="0"/>
                <w:sz w:val="24"/>
                <w:szCs w:val="24"/>
              </w:rPr>
              <w:t>（158）暂存区应远离火源、热源和不相容物质，避免日晒、雨淋，存放两种及以上不相容的实验室危险废物时，应分不同区域；</w:t>
            </w:r>
          </w:p>
          <w:p>
            <w:pPr>
              <w:widowControl/>
              <w:rPr>
                <w:rFonts w:hint="eastAsia" w:ascii="仿宋" w:hAnsi="仿宋" w:eastAsia="仿宋" w:cs="仿宋"/>
                <w:kern w:val="0"/>
                <w:sz w:val="24"/>
                <w:szCs w:val="24"/>
              </w:rPr>
            </w:pPr>
            <w:r>
              <w:rPr>
                <w:rFonts w:hint="eastAsia" w:ascii="仿宋" w:hAnsi="仿宋" w:eastAsia="仿宋" w:cs="仿宋"/>
                <w:kern w:val="0"/>
                <w:sz w:val="24"/>
                <w:szCs w:val="24"/>
              </w:rPr>
              <w:t xml:space="preserve">（159）暂存区应有警示标识并有防遗洒、防渗漏设施或措施 </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8.6.2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实验室内须规范收集化学废弃物</w:t>
            </w:r>
          </w:p>
        </w:tc>
        <w:tc>
          <w:tcPr>
            <w:tcW w:w="8841" w:type="dxa"/>
            <w:tcMar>
              <w:left w:w="45" w:type="dxa"/>
              <w:right w:w="45" w:type="dxa"/>
            </w:tcMar>
            <w:vAlign w:val="center"/>
          </w:tcPr>
          <w:p>
            <w:pPr>
              <w:widowControl/>
              <w:rPr>
                <w:rFonts w:hint="eastAsia" w:ascii="仿宋" w:hAnsi="仿宋" w:eastAsia="仿宋" w:cs="仿宋"/>
                <w:kern w:val="0"/>
                <w:sz w:val="24"/>
                <w:szCs w:val="24"/>
              </w:rPr>
            </w:pPr>
            <w:r>
              <w:rPr>
                <w:rFonts w:hint="eastAsia" w:ascii="仿宋" w:hAnsi="仿宋" w:eastAsia="仿宋" w:cs="仿宋"/>
                <w:kern w:val="0"/>
                <w:sz w:val="24"/>
                <w:szCs w:val="24"/>
              </w:rPr>
              <w:t>（160）危险废物应按化学特性和危险特性，进行分类收集和暂存；</w:t>
            </w:r>
          </w:p>
          <w:p>
            <w:pPr>
              <w:widowControl/>
              <w:rPr>
                <w:rFonts w:hint="eastAsia" w:ascii="仿宋" w:hAnsi="仿宋" w:eastAsia="仿宋" w:cs="仿宋"/>
                <w:kern w:val="0"/>
                <w:sz w:val="24"/>
                <w:szCs w:val="24"/>
              </w:rPr>
            </w:pPr>
            <w:r>
              <w:rPr>
                <w:rFonts w:hint="eastAsia" w:ascii="仿宋" w:hAnsi="仿宋" w:eastAsia="仿宋" w:cs="仿宋"/>
                <w:kern w:val="0"/>
                <w:sz w:val="24"/>
                <w:szCs w:val="24"/>
              </w:rPr>
              <w:t>（161）废弃的化学试剂应存放在原试剂瓶中，保留原标签，并瓶口朝上放入专用固废箱中；</w:t>
            </w:r>
          </w:p>
          <w:p>
            <w:pPr>
              <w:widowControl/>
              <w:rPr>
                <w:rFonts w:hint="eastAsia" w:ascii="仿宋" w:hAnsi="仿宋" w:eastAsia="仿宋" w:cs="仿宋"/>
                <w:kern w:val="0"/>
                <w:sz w:val="24"/>
                <w:szCs w:val="24"/>
              </w:rPr>
            </w:pPr>
            <w:r>
              <w:rPr>
                <w:rFonts w:hint="eastAsia" w:ascii="仿宋" w:hAnsi="仿宋" w:eastAsia="仿宋" w:cs="仿宋"/>
                <w:kern w:val="0"/>
                <w:sz w:val="24"/>
                <w:szCs w:val="24"/>
              </w:rPr>
              <w:t>（162）针头等利器需放入利器盒中收集；</w:t>
            </w:r>
          </w:p>
          <w:p>
            <w:pPr>
              <w:widowControl/>
              <w:rPr>
                <w:rFonts w:hint="eastAsia" w:ascii="仿宋" w:hAnsi="仿宋" w:eastAsia="仿宋" w:cs="仿宋"/>
                <w:kern w:val="0"/>
                <w:sz w:val="24"/>
                <w:szCs w:val="24"/>
              </w:rPr>
            </w:pPr>
            <w:r>
              <w:rPr>
                <w:rFonts w:hint="eastAsia" w:ascii="仿宋" w:hAnsi="仿宋" w:eastAsia="仿宋" w:cs="仿宋"/>
                <w:kern w:val="0"/>
                <w:sz w:val="24"/>
                <w:szCs w:val="24"/>
              </w:rPr>
              <w:t>（163）废液应分类装入专用废液桶中，液面不超过容量的3/4。废液桶须满足耐腐蚀、抗溶剂、耐挤压、抗冲击的要求；</w:t>
            </w:r>
          </w:p>
          <w:p>
            <w:pPr>
              <w:widowControl/>
              <w:rPr>
                <w:rFonts w:hint="eastAsia" w:ascii="仿宋" w:hAnsi="仿宋" w:eastAsia="仿宋" w:cs="仿宋"/>
                <w:kern w:val="0"/>
                <w:sz w:val="24"/>
                <w:szCs w:val="24"/>
              </w:rPr>
            </w:pPr>
            <w:r>
              <w:rPr>
                <w:rFonts w:hint="eastAsia" w:ascii="仿宋" w:hAnsi="仿宋" w:eastAsia="仿宋" w:cs="仿宋"/>
                <w:kern w:val="0"/>
                <w:sz w:val="24"/>
                <w:szCs w:val="24"/>
              </w:rPr>
              <w:t>（164）实验室危险废物收集容器上应粘贴危险废物信息标签、警示标志；</w:t>
            </w:r>
          </w:p>
          <w:p>
            <w:pPr>
              <w:widowControl/>
              <w:rPr>
                <w:rFonts w:hint="eastAsia" w:ascii="仿宋" w:hAnsi="仿宋" w:eastAsia="仿宋" w:cs="仿宋"/>
                <w:kern w:val="0"/>
                <w:sz w:val="24"/>
                <w:szCs w:val="24"/>
              </w:rPr>
            </w:pPr>
            <w:r>
              <w:rPr>
                <w:rFonts w:hint="eastAsia" w:ascii="仿宋" w:hAnsi="仿宋" w:eastAsia="仿宋" w:cs="仿宋"/>
                <w:kern w:val="0"/>
                <w:sz w:val="24"/>
                <w:szCs w:val="24"/>
              </w:rPr>
              <w:t>（165）严禁将实验室危险废物直接排入下水道，严禁与生活垃圾、感染性废物或放射性废物等混装</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8.6.3</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化学废弃物的转运须合规</w:t>
            </w:r>
          </w:p>
        </w:tc>
        <w:tc>
          <w:tcPr>
            <w:tcW w:w="8841" w:type="dxa"/>
            <w:tcMar>
              <w:left w:w="45" w:type="dxa"/>
              <w:right w:w="45" w:type="dxa"/>
            </w:tcMar>
            <w:vAlign w:val="center"/>
          </w:tcPr>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（166）委托有危险废物处置资质的专业厂家集中处置化学废弃物，查看协议；</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（167）</w:t>
            </w:r>
            <w:r>
              <w:rPr>
                <w:rFonts w:hint="eastAsia" w:ascii="仿宋" w:hAnsi="仿宋" w:eastAsia="仿宋" w:cs="仿宋"/>
                <w:bCs/>
                <w:color w:val="auto"/>
                <w:kern w:val="0"/>
                <w:sz w:val="24"/>
                <w:szCs w:val="24"/>
              </w:rPr>
              <w:t>建立危险废物管理台账</w:t>
            </w:r>
            <w:r>
              <w:rPr>
                <w:rFonts w:hint="eastAsia" w:ascii="仿宋" w:hAnsi="仿宋" w:eastAsia="仿宋" w:cs="仿宋"/>
                <w:color w:val="auto"/>
                <w:kern w:val="0"/>
                <w:sz w:val="24"/>
                <w:szCs w:val="24"/>
              </w:rPr>
              <w:t>，如实记录有关信息，包括种类、产生量、流向、贮存、处置等有关资料；</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（168）校外转运之前，贮存站必须妥善管理实验室危险废物，采取有效措施，防止废物的扬散、流失、渗漏或其他环境污染；</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（169）转运人员应使用专用运输工具，运输前根据运输废物的危险特性，应携带必要的应急物资和个人防护用具，如收集工具、手套、口罩等；</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（170）实验室危险废物的校外转运必须按照国家有关规定填写危险废物电子或者纸质转移联单，任何单位和个人未经许可不得非法转运</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8.6.4</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学校应建设化学废弃物贮存站并规范管理</w:t>
            </w:r>
          </w:p>
        </w:tc>
        <w:tc>
          <w:tcPr>
            <w:tcW w:w="8841" w:type="dxa"/>
            <w:tcMar>
              <w:left w:w="45" w:type="dxa"/>
              <w:right w:w="45" w:type="dxa"/>
            </w:tcMar>
            <w:vAlign w:val="center"/>
          </w:tcPr>
          <w:p>
            <w:pPr>
              <w:widowControl/>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（171）制定意外事故的防范措施和应急预案</w:t>
            </w:r>
            <w:r>
              <w:rPr>
                <w:rFonts w:hint="eastAsia" w:ascii="仿宋" w:hAnsi="仿宋" w:eastAsia="仿宋" w:cs="仿宋"/>
                <w:color w:val="auto"/>
                <w:kern w:val="0"/>
                <w:sz w:val="24"/>
                <w:szCs w:val="24"/>
              </w:rPr>
              <w:t>，并向所在地生态环境主管部门</w:t>
            </w:r>
            <w:r>
              <w:rPr>
                <w:rFonts w:hint="eastAsia" w:ascii="仿宋" w:hAnsi="仿宋" w:eastAsia="仿宋" w:cs="仿宋"/>
                <w:bCs/>
                <w:color w:val="auto"/>
                <w:kern w:val="0"/>
                <w:sz w:val="24"/>
                <w:szCs w:val="24"/>
              </w:rPr>
              <w:t>备案；</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（172）贮存站应有具体的管理办法并将贮存站安全运行、实验室危险废物出站转运等日常管理工作落实到相关人员的岗位职责中；</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（173）贮存</w:t>
            </w:r>
            <w:r>
              <w:rPr>
                <w:rFonts w:hint="eastAsia" w:ascii="仿宋" w:hAnsi="仿宋" w:eastAsia="仿宋" w:cs="仿宋"/>
                <w:bCs/>
                <w:color w:val="auto"/>
                <w:kern w:val="0"/>
                <w:sz w:val="24"/>
                <w:szCs w:val="24"/>
              </w:rPr>
              <w:t>设施、场所</w:t>
            </w:r>
            <w:r>
              <w:rPr>
                <w:rFonts w:hint="eastAsia" w:ascii="仿宋" w:hAnsi="仿宋" w:eastAsia="仿宋" w:cs="仿宋"/>
                <w:color w:val="auto"/>
                <w:kern w:val="0"/>
                <w:sz w:val="24"/>
                <w:szCs w:val="24"/>
              </w:rPr>
              <w:t>应当按照规定</w:t>
            </w:r>
            <w:r>
              <w:rPr>
                <w:rFonts w:hint="eastAsia" w:ascii="仿宋" w:hAnsi="仿宋" w:eastAsia="仿宋" w:cs="仿宋"/>
                <w:bCs/>
                <w:color w:val="auto"/>
                <w:kern w:val="0"/>
                <w:sz w:val="24"/>
                <w:szCs w:val="24"/>
              </w:rPr>
              <w:t>设置危险废物识别标志</w:t>
            </w:r>
            <w:r>
              <w:rPr>
                <w:rFonts w:hint="eastAsia" w:ascii="仿宋" w:hAnsi="仿宋" w:eastAsia="仿宋" w:cs="仿宋"/>
                <w:color w:val="auto"/>
                <w:kern w:val="0"/>
                <w:sz w:val="24"/>
                <w:szCs w:val="24"/>
              </w:rPr>
              <w:t>；</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（174）贮存站管理员须作好实验室危险废物收集及外送情况的记录</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b/>
                <w:bCs/>
                <w:kern w:val="0"/>
                <w:sz w:val="24"/>
                <w:szCs w:val="24"/>
              </w:rPr>
              <w:t>8.7</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危化品仓库与废弃物贮存站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8.7.1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学校建有危险品仓库、化学实验废弃物贮存站，对废弃物集中定点存放</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（175）危险品仓库、化学实验废弃物贮存站须有通风、隔热、避光、防盗、防爆、防静电、泄露报警、应急喷淋、安全警示标识等技防措施，符合相关规定，专人管理；</w:t>
            </w:r>
          </w:p>
          <w:p>
            <w:pPr>
              <w:widowControl/>
              <w:spacing w:line="300" w:lineRule="exact"/>
              <w:rPr>
                <w:rFonts w:hint="eastAsia" w:ascii="仿宋" w:hAnsi="仿宋" w:eastAsia="仿宋" w:cs="仿宋"/>
                <w:sz w:val="24"/>
                <w:szCs w:val="24"/>
              </w:rPr>
            </w:pPr>
            <w:r>
              <w:rPr>
                <w:rFonts w:hint="eastAsia" w:ascii="仿宋" w:hAnsi="仿宋" w:eastAsia="仿宋" w:cs="仿宋"/>
                <w:kern w:val="0"/>
                <w:sz w:val="24"/>
                <w:szCs w:val="24"/>
              </w:rPr>
              <w:t>（176）危险品仓库、化学实验废弃物贮存站的消防</w:t>
            </w:r>
            <w:r>
              <w:rPr>
                <w:rFonts w:hint="eastAsia" w:ascii="仿宋" w:hAnsi="仿宋" w:eastAsia="仿宋" w:cs="仿宋"/>
                <w:sz w:val="24"/>
                <w:szCs w:val="24"/>
              </w:rPr>
              <w:t>设施符合国家相关规定，正确配备灭火器材（如灭火器、灭火毯、砂箱、自动喷淋等）；</w:t>
            </w:r>
          </w:p>
          <w:p>
            <w:pPr>
              <w:widowControl/>
              <w:spacing w:line="300" w:lineRule="exact"/>
              <w:rPr>
                <w:rFonts w:hint="eastAsia" w:ascii="仿宋" w:hAnsi="仿宋" w:eastAsia="仿宋" w:cs="仿宋"/>
                <w:kern w:val="0"/>
                <w:sz w:val="24"/>
                <w:szCs w:val="24"/>
              </w:rPr>
            </w:pPr>
            <w:r>
              <w:rPr>
                <w:rFonts w:hint="eastAsia" w:ascii="仿宋" w:hAnsi="仿宋" w:eastAsia="仿宋" w:cs="仿宋"/>
                <w:sz w:val="24"/>
                <w:szCs w:val="24"/>
              </w:rPr>
              <w:t>（177）</w:t>
            </w:r>
            <w:r>
              <w:rPr>
                <w:rFonts w:hint="eastAsia" w:ascii="仿宋" w:hAnsi="仿宋" w:eastAsia="仿宋" w:cs="仿宋"/>
                <w:kern w:val="0"/>
                <w:sz w:val="24"/>
                <w:szCs w:val="24"/>
              </w:rPr>
              <w:t>危险品仓库、化学实验废弃物贮存站不能建设在地下室空间，若在实验楼内，必须有警示、通风、隔热、避光、防盗、防爆、防静电、泄露报警、应急喷淋等技防措施，面积不超过30平方米；</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（178）危险品仓库的试剂不混放，整箱试剂的叠加高度不大于1.5米</w:t>
            </w:r>
          </w:p>
        </w:tc>
        <w:tc>
          <w:tcPr>
            <w:tcW w:w="1362" w:type="dxa"/>
            <w:tcMar>
              <w:left w:w="45" w:type="dxa"/>
              <w:right w:w="45" w:type="dxa"/>
            </w:tcMar>
            <w:vAlign w:val="center"/>
          </w:tcPr>
          <w:p>
            <w:pPr>
              <w:widowControl/>
              <w:spacing w:line="300" w:lineRule="exact"/>
              <w:jc w:val="lef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8.8</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lang w:eastAsia="zh-CN"/>
              </w:rPr>
              <w:t>其他</w:t>
            </w:r>
            <w:r>
              <w:rPr>
                <w:rFonts w:hint="eastAsia" w:ascii="仿宋" w:hAnsi="仿宋" w:eastAsia="仿宋" w:cs="仿宋"/>
                <w:b/>
                <w:kern w:val="0"/>
                <w:sz w:val="24"/>
                <w:szCs w:val="24"/>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8.8.1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配制试剂需要张贴标签</w:t>
            </w:r>
          </w:p>
        </w:tc>
        <w:tc>
          <w:tcPr>
            <w:tcW w:w="8841" w:type="dxa"/>
            <w:tcMar>
              <w:left w:w="45" w:type="dxa"/>
              <w:right w:w="45" w:type="dxa"/>
            </w:tcMar>
            <w:vAlign w:val="center"/>
          </w:tcPr>
          <w:p>
            <w:pPr>
              <w:widowControl/>
              <w:rPr>
                <w:rFonts w:hint="eastAsia" w:ascii="仿宋" w:hAnsi="仿宋" w:eastAsia="仿宋" w:cs="仿宋"/>
                <w:kern w:val="0"/>
                <w:sz w:val="24"/>
                <w:szCs w:val="24"/>
              </w:rPr>
            </w:pPr>
            <w:r>
              <w:rPr>
                <w:rFonts w:hint="eastAsia" w:ascii="仿宋" w:hAnsi="仿宋" w:eastAsia="仿宋" w:cs="仿宋"/>
                <w:kern w:val="0"/>
                <w:sz w:val="24"/>
                <w:szCs w:val="24"/>
              </w:rPr>
              <w:t>（179）装有配制试剂、合成品、样品等的容器上标签信息明确，标签信息包括名称或编号、使用人、日期等；</w:t>
            </w:r>
          </w:p>
          <w:p>
            <w:pPr>
              <w:widowControl/>
              <w:rPr>
                <w:rFonts w:hint="eastAsia" w:ascii="仿宋" w:hAnsi="仿宋" w:eastAsia="仿宋" w:cs="仿宋"/>
                <w:bCs/>
                <w:kern w:val="0"/>
                <w:sz w:val="24"/>
                <w:szCs w:val="24"/>
              </w:rPr>
            </w:pPr>
            <w:r>
              <w:rPr>
                <w:rFonts w:hint="eastAsia" w:ascii="仿宋" w:hAnsi="仿宋" w:eastAsia="仿宋" w:cs="仿宋"/>
                <w:kern w:val="0"/>
                <w:sz w:val="24"/>
                <w:szCs w:val="24"/>
              </w:rPr>
              <w:t>（180）无使用饮料瓶存放试剂、样品的现象，如确需使用，必须撕去原包装纸，贴上试剂标签</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8.8.2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不使用破损量筒、试管、移液管等玻璃器皿</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（181）查看现场</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9</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9.1</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9.1.1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开展病原微生物实验研究的实验室，须具备相应的安全等级资质</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（182）BSL-3/ABSL-3、BSL-4/ABSL-4实验室须经政府部门批准建设，BSL-1/ ABSL-1、BSL-2/ ABSL-2 实验室由学校建设后报卫生或农业部门备案</w:t>
            </w:r>
          </w:p>
        </w:tc>
        <w:tc>
          <w:tcPr>
            <w:tcW w:w="1362" w:type="dxa"/>
            <w:tcMar>
              <w:left w:w="45" w:type="dxa"/>
              <w:right w:w="45" w:type="dxa"/>
            </w:tcMar>
            <w:vAlign w:val="center"/>
          </w:tcPr>
          <w:p>
            <w:pPr>
              <w:widowControl/>
              <w:spacing w:line="300" w:lineRule="exact"/>
              <w:rPr>
                <w:rFonts w:hint="eastAsia"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9.1.2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在规定等级实验室中开展涉及病原微生物的实验</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sz w:val="24"/>
                <w:szCs w:val="24"/>
              </w:rPr>
              <w:t>（183）以国家法律、法规、标准、规范，以及权威机构发布的指南、数据等为依据</w:t>
            </w:r>
            <w:r>
              <w:rPr>
                <w:rFonts w:hint="eastAsia" w:ascii="仿宋" w:hAnsi="仿宋" w:eastAsia="仿宋" w:cs="仿宋"/>
                <w:kern w:val="0"/>
                <w:sz w:val="24"/>
                <w:szCs w:val="24"/>
              </w:rPr>
              <w:t>，对涉及的致病性生物因子进行风险评估，选择对应的实验室安全级别进行致病性病原微生物研究，重点关注：开展未经灭活的高致病性病原微生物（列入一类、二类）相关实验和研究，必须在BSL-3/ABSL-3、BSL-4/ABSL-4实验室中进行；开展低致病性病原微生物（列入三类、四类），或经灭活的高致病性感染性材料的相关实验和研究，必须在BSL-1/ ABSL-1、BSL-2/ ABSL-2或以上等级实验室中进行</w:t>
            </w:r>
          </w:p>
        </w:tc>
        <w:tc>
          <w:tcPr>
            <w:tcW w:w="1362" w:type="dxa"/>
            <w:tcMar>
              <w:left w:w="45" w:type="dxa"/>
              <w:right w:w="45" w:type="dxa"/>
            </w:tcMar>
            <w:vAlign w:val="center"/>
          </w:tcPr>
          <w:p>
            <w:pPr>
              <w:widowControl/>
              <w:spacing w:line="300" w:lineRule="exact"/>
              <w:rPr>
                <w:rFonts w:hint="eastAsia"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9.2</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9.2.1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实验室安全防范设施达到相应生物安全实验室要求，各区域分布合理、气压正常</w:t>
            </w:r>
          </w:p>
        </w:tc>
        <w:tc>
          <w:tcPr>
            <w:tcW w:w="8841" w:type="dxa"/>
            <w:tcMar>
              <w:left w:w="45" w:type="dxa"/>
              <w:right w:w="45" w:type="dxa"/>
            </w:tcMar>
            <w:vAlign w:val="center"/>
          </w:tcPr>
          <w:p>
            <w:pPr>
              <w:rPr>
                <w:rFonts w:hint="eastAsia" w:ascii="仿宋" w:hAnsi="仿宋" w:eastAsia="仿宋" w:cs="仿宋"/>
                <w:bCs/>
                <w:kern w:val="0"/>
                <w:sz w:val="24"/>
                <w:szCs w:val="24"/>
              </w:rPr>
            </w:pPr>
            <w:r>
              <w:rPr>
                <w:rFonts w:hint="eastAsia" w:ascii="仿宋" w:hAnsi="仿宋" w:eastAsia="仿宋" w:cs="仿宋"/>
                <w:kern w:val="0"/>
                <w:sz w:val="24"/>
                <w:szCs w:val="24"/>
              </w:rPr>
              <w:t>（184）BSL-2/ABSL-2及以上安全等级实验室须设门禁管理和准入制度，储存病原微生物的场所或储柜配备防盗设施，BSL-3/ABSL-3及以上安全等级实验室须安装监控报警装置</w:t>
            </w:r>
          </w:p>
        </w:tc>
        <w:tc>
          <w:tcPr>
            <w:tcW w:w="1362" w:type="dxa"/>
            <w:tcMar>
              <w:left w:w="45" w:type="dxa"/>
              <w:right w:w="45" w:type="dxa"/>
            </w:tcMar>
            <w:vAlign w:val="center"/>
          </w:tcPr>
          <w:p>
            <w:pPr>
              <w:pStyle w:val="55"/>
              <w:spacing w:line="360" w:lineRule="auto"/>
              <w:ind w:firstLine="0" w:firstLineChars="0"/>
              <w:rPr>
                <w:rFonts w:hint="eastAsia"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9.2.2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配有符合相应要求的生物安全设施</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（185）BSL-2/ABSL-2及以上安全等级实验室须配有II级生物安全柜，定期进行检测，</w:t>
            </w:r>
            <w:r>
              <w:rPr>
                <w:rFonts w:hint="eastAsia" w:ascii="仿宋" w:hAnsi="仿宋" w:eastAsia="仿宋" w:cs="仿宋"/>
                <w:bCs/>
                <w:kern w:val="0"/>
                <w:sz w:val="24"/>
                <w:szCs w:val="24"/>
              </w:rPr>
              <w:t>B型生物安全柜需有正常通风系统；</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（186）BSL-2/ABSL-2及以上安全等级实验室应配备消防器材和设施、应急供电（至少延时半小时），必要的应急淋浴及洗眼装置；</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（187）BSL-2/ABSL-2及以上安全等级实验室的传递窗功能正常、内部不存放物品；安装有防虫纱窗、入口处有挡鼠板；</w:t>
            </w:r>
          </w:p>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（188）生物安全实验室配有压力蒸汽灭菌器，每次使用时监测灭菌效果</w:t>
            </w:r>
          </w:p>
        </w:tc>
        <w:tc>
          <w:tcPr>
            <w:tcW w:w="1362" w:type="dxa"/>
            <w:tcMar>
              <w:left w:w="45" w:type="dxa"/>
              <w:right w:w="45" w:type="dxa"/>
            </w:tcMar>
            <w:vAlign w:val="center"/>
          </w:tcPr>
          <w:p>
            <w:pPr>
              <w:widowControl/>
              <w:spacing w:line="300" w:lineRule="exact"/>
              <w:rPr>
                <w:rFonts w:hint="eastAsia"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9.2.3</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场所消毒要保证人员安全</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（189）使用紫外灯的生物安全实验室应设安全警示标志，尤其应对紫外灯开关张贴警示标识；</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（190）使用紫外灯的生物安全实验室在消毒过程中禁止人员进入。采用紫外加臭氧方式消毒应在消毒时间结束后有一定的排风时间，臭氧消散后人员方可进入</w:t>
            </w:r>
          </w:p>
        </w:tc>
        <w:tc>
          <w:tcPr>
            <w:tcW w:w="1362" w:type="dxa"/>
            <w:tcMar>
              <w:left w:w="45" w:type="dxa"/>
              <w:right w:w="45" w:type="dxa"/>
            </w:tcMar>
            <w:vAlign w:val="center"/>
          </w:tcPr>
          <w:p>
            <w:pPr>
              <w:pStyle w:val="6"/>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9.3</w:t>
            </w:r>
          </w:p>
        </w:tc>
        <w:tc>
          <w:tcPr>
            <w:tcW w:w="14023" w:type="dxa"/>
            <w:gridSpan w:val="3"/>
            <w:tcMar>
              <w:left w:w="45" w:type="dxa"/>
              <w:right w:w="45" w:type="dxa"/>
            </w:tcMar>
            <w:vAlign w:val="center"/>
          </w:tcPr>
          <w:p>
            <w:pPr>
              <w:widowControl/>
              <w:spacing w:line="300" w:lineRule="exact"/>
              <w:rPr>
                <w:rFonts w:hint="eastAsia" w:ascii="仿宋" w:hAnsi="仿宋" w:eastAsia="仿宋" w:cs="仿宋"/>
                <w:b/>
                <w:bCs/>
                <w:kern w:val="0"/>
                <w:sz w:val="24"/>
                <w:szCs w:val="24"/>
              </w:rPr>
            </w:pPr>
            <w:r>
              <w:rPr>
                <w:rFonts w:hint="eastAsia" w:ascii="仿宋" w:hAnsi="仿宋" w:eastAsia="仿宋" w:cs="仿宋"/>
                <w:b/>
                <w:bCs/>
                <w:kern w:val="0"/>
                <w:sz w:val="24"/>
                <w:szCs w:val="24"/>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9.3.1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采购或自行分离高致病性病原微生物菌（毒）种，须办理相应申请和报批手续</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（191）采购病原微生物须从有资质的单位购买，具有相应合格证书。须按照学校流程审批，报行业主管部门批准；</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（192）转移和运输病原微生物需按规定报卫生和农业主管部门批准，并按相应的运输包装要求包装后转移和运输</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9.3.2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高致病性病原微生物菌（毒）种应妥善保存和严格管理</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（193）病原微生物菌（毒）种保存在带锁冰箱或柜子中，高致病性病原微生物实行双人双锁管理。有病原微生物菌（毒）种保存、实验使用、销毁的记录</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9.4</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9.4.1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开展病原微生物相关实验和研究的人员经过专业培训</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（194）人员经考核合格，并取得证书</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9.4.2</w:t>
            </w:r>
          </w:p>
        </w:tc>
        <w:tc>
          <w:tcPr>
            <w:tcW w:w="3820" w:type="dxa"/>
            <w:tcMar>
              <w:left w:w="45" w:type="dxa"/>
              <w:right w:w="45" w:type="dxa"/>
            </w:tcMar>
            <w:vAlign w:val="center"/>
          </w:tcPr>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为从事高致病性病原微生物的工作人员提供适宜的医学评估</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sz w:val="24"/>
                <w:szCs w:val="24"/>
              </w:rPr>
              <w:t>（195）实施监测和治疗方案，并妥善保存相应的医学记录。</w:t>
            </w:r>
            <w:r>
              <w:rPr>
                <w:rFonts w:hint="eastAsia" w:ascii="仿宋" w:hAnsi="仿宋" w:eastAsia="仿宋" w:cs="仿宋"/>
                <w:bCs/>
                <w:kern w:val="0"/>
                <w:sz w:val="24"/>
                <w:szCs w:val="24"/>
              </w:rPr>
              <w:t>有上岗前体检和离岗体检，长期工作有定期体检</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9.4.3</w:t>
            </w:r>
          </w:p>
        </w:tc>
        <w:tc>
          <w:tcPr>
            <w:tcW w:w="3820" w:type="dxa"/>
            <w:tcMar>
              <w:left w:w="45" w:type="dxa"/>
              <w:right w:w="45" w:type="dxa"/>
            </w:tcMar>
            <w:vAlign w:val="center"/>
          </w:tcPr>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制定相应的人员准入制度</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sz w:val="24"/>
                <w:szCs w:val="24"/>
              </w:rPr>
              <w:t>（196）外来人员进入生物安全实验室需经负责人批准，并有相关的教育培训、安全防控措施</w:t>
            </w:r>
            <w:r>
              <w:rPr>
                <w:rFonts w:hint="eastAsia" w:ascii="仿宋" w:hAnsi="仿宋" w:eastAsia="仿宋" w:cs="仿宋"/>
                <w:bCs/>
                <w:kern w:val="0"/>
                <w:sz w:val="24"/>
                <w:szCs w:val="24"/>
              </w:rPr>
              <w:t>。出现感冒发热等症状时，不得进行病原微生物实验</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9.5</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9.5.1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制定并采用生物安全手册，有相关标准操作规范</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（197）有从事病原微生物相关实验活动的标准操作规范</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9.5.2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开展相关实验活动的风险评估和应急预案</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（198）BSL-2 /ABSL-2及以上等级实验室，开展病原微生物的相关实验活动应有风险评估和应急预案，包括</w:t>
            </w:r>
            <w:r>
              <w:rPr>
                <w:rFonts w:hint="eastAsia" w:ascii="仿宋" w:hAnsi="仿宋" w:eastAsia="仿宋" w:cs="仿宋"/>
                <w:sz w:val="24"/>
                <w:szCs w:val="24"/>
              </w:rPr>
              <w:t>病原微生物及感染材料溢出和意外事故的书面处置程序</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9.5.3</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实验操作合规，安全防护措施合理</w:t>
            </w:r>
          </w:p>
        </w:tc>
        <w:tc>
          <w:tcPr>
            <w:tcW w:w="8841" w:type="dxa"/>
            <w:tcMar>
              <w:left w:w="45" w:type="dxa"/>
              <w:right w:w="45" w:type="dxa"/>
            </w:tcMar>
            <w:vAlign w:val="center"/>
          </w:tcPr>
          <w:p>
            <w:pPr>
              <w:rPr>
                <w:rFonts w:hint="eastAsia" w:ascii="仿宋" w:hAnsi="仿宋" w:eastAsia="仿宋" w:cs="仿宋"/>
                <w:bCs/>
                <w:kern w:val="0"/>
                <w:sz w:val="24"/>
                <w:szCs w:val="24"/>
              </w:rPr>
            </w:pPr>
            <w:r>
              <w:rPr>
                <w:rFonts w:hint="eastAsia" w:ascii="仿宋" w:hAnsi="仿宋" w:eastAsia="仿宋" w:cs="仿宋"/>
                <w:kern w:val="0"/>
                <w:sz w:val="24"/>
                <w:szCs w:val="24"/>
              </w:rPr>
              <w:t>（199）在合适的生物安全柜中进行实验操作</w:t>
            </w:r>
            <w:r>
              <w:rPr>
                <w:rFonts w:hint="eastAsia" w:ascii="仿宋" w:hAnsi="仿宋" w:eastAsia="仿宋" w:cs="仿宋"/>
                <w:bCs/>
                <w:kern w:val="0"/>
                <w:sz w:val="24"/>
                <w:szCs w:val="24"/>
              </w:rPr>
              <w:t>；不得在超净工作台中进行病原微生物实验；</w:t>
            </w:r>
          </w:p>
          <w:p>
            <w:pPr>
              <w:rPr>
                <w:rFonts w:hint="eastAsia" w:ascii="仿宋" w:hAnsi="仿宋" w:eastAsia="仿宋" w:cs="仿宋"/>
                <w:kern w:val="0"/>
                <w:sz w:val="24"/>
                <w:szCs w:val="24"/>
              </w:rPr>
            </w:pPr>
            <w:r>
              <w:rPr>
                <w:rFonts w:hint="eastAsia" w:ascii="仿宋" w:hAnsi="仿宋" w:eastAsia="仿宋" w:cs="仿宋"/>
                <w:bCs/>
                <w:kern w:val="0"/>
                <w:sz w:val="24"/>
                <w:szCs w:val="24"/>
              </w:rPr>
              <w:t>（200）</w:t>
            </w:r>
            <w:r>
              <w:rPr>
                <w:rFonts w:hint="eastAsia" w:ascii="仿宋" w:hAnsi="仿宋" w:eastAsia="仿宋" w:cs="仿宋"/>
                <w:kern w:val="0"/>
                <w:sz w:val="24"/>
                <w:szCs w:val="24"/>
              </w:rPr>
              <w:t>安全操作高速离心机，小心防止离心管破损或盖子破损造成溢出或气溶胶散发；</w:t>
            </w:r>
          </w:p>
          <w:p>
            <w:pPr>
              <w:rPr>
                <w:rFonts w:hint="eastAsia" w:ascii="仿宋" w:hAnsi="仿宋" w:eastAsia="仿宋" w:cs="仿宋"/>
                <w:kern w:val="0"/>
                <w:sz w:val="24"/>
                <w:szCs w:val="24"/>
              </w:rPr>
            </w:pPr>
            <w:r>
              <w:rPr>
                <w:rFonts w:hint="eastAsia" w:ascii="仿宋" w:hAnsi="仿宋" w:eastAsia="仿宋" w:cs="仿宋"/>
                <w:kern w:val="0"/>
                <w:sz w:val="24"/>
                <w:szCs w:val="24"/>
              </w:rPr>
              <w:t>（201）有合适的个人防护措施，</w:t>
            </w:r>
            <w:r>
              <w:rPr>
                <w:rFonts w:hint="eastAsia" w:ascii="仿宋" w:hAnsi="仿宋" w:eastAsia="仿宋" w:cs="仿宋"/>
                <w:sz w:val="24"/>
                <w:szCs w:val="24"/>
              </w:rPr>
              <w:t>禁止戴防护手套操作相关实验以外的设施设备</w:t>
            </w:r>
          </w:p>
        </w:tc>
        <w:tc>
          <w:tcPr>
            <w:tcW w:w="1362" w:type="dxa"/>
            <w:tcMar>
              <w:left w:w="45" w:type="dxa"/>
              <w:right w:w="45" w:type="dxa"/>
            </w:tcMar>
            <w:vAlign w:val="center"/>
          </w:tcPr>
          <w:p>
            <w:pPr>
              <w:pStyle w:val="55"/>
              <w:spacing w:line="360" w:lineRule="auto"/>
              <w:ind w:firstLine="0" w:firstLineChars="0"/>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9.6</w:t>
            </w:r>
          </w:p>
        </w:tc>
        <w:tc>
          <w:tcPr>
            <w:tcW w:w="14023" w:type="dxa"/>
            <w:gridSpan w:val="3"/>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
                <w:kern w:val="0"/>
                <w:sz w:val="24"/>
                <w:szCs w:val="24"/>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9.6.1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实验动物的购买、饲养、解剖等须符合相关规定</w:t>
            </w:r>
          </w:p>
        </w:tc>
        <w:tc>
          <w:tcPr>
            <w:tcW w:w="8841" w:type="dxa"/>
            <w:tcMar>
              <w:left w:w="45" w:type="dxa"/>
              <w:right w:w="45" w:type="dxa"/>
            </w:tcMar>
            <w:vAlign w:val="center"/>
          </w:tcPr>
          <w:p>
            <w:pPr>
              <w:widowControl/>
              <w:spacing w:line="300" w:lineRule="exact"/>
              <w:rPr>
                <w:rFonts w:hint="eastAsia" w:ascii="仿宋" w:hAnsi="仿宋" w:eastAsia="仿宋" w:cs="仿宋"/>
                <w:sz w:val="24"/>
                <w:szCs w:val="24"/>
              </w:rPr>
            </w:pPr>
            <w:r>
              <w:rPr>
                <w:rFonts w:hint="eastAsia" w:ascii="仿宋" w:hAnsi="仿宋" w:eastAsia="仿宋" w:cs="仿宋"/>
                <w:kern w:val="0"/>
                <w:sz w:val="24"/>
                <w:szCs w:val="24"/>
              </w:rPr>
              <w:t>（202）饲养实验动物的场所应有资质证书，实验动物需从具有资质的单位购买，有合格证明，</w:t>
            </w:r>
            <w:r>
              <w:rPr>
                <w:rFonts w:hint="eastAsia" w:ascii="仿宋" w:hAnsi="仿宋" w:eastAsia="仿宋" w:cs="仿宋"/>
                <w:sz w:val="24"/>
                <w:szCs w:val="24"/>
              </w:rPr>
              <w:t>用于解剖的实验动物须经过检验检疫合格；</w:t>
            </w:r>
          </w:p>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（203）解剖实验动物时，必须做好个人安全防护；</w:t>
            </w:r>
          </w:p>
          <w:p>
            <w:pPr>
              <w:widowControl/>
              <w:spacing w:line="300" w:lineRule="exact"/>
              <w:rPr>
                <w:rFonts w:hint="eastAsia" w:ascii="仿宋" w:hAnsi="仿宋" w:eastAsia="仿宋" w:cs="仿宋"/>
                <w:bCs/>
                <w:kern w:val="0"/>
                <w:sz w:val="24"/>
                <w:szCs w:val="24"/>
              </w:rPr>
            </w:pPr>
            <w:r>
              <w:rPr>
                <w:rFonts w:hint="eastAsia" w:ascii="仿宋" w:hAnsi="仿宋" w:eastAsia="仿宋" w:cs="仿宋"/>
                <w:sz w:val="24"/>
                <w:szCs w:val="24"/>
              </w:rPr>
              <w:t>（204）</w:t>
            </w:r>
            <w:r>
              <w:rPr>
                <w:rFonts w:hint="eastAsia" w:ascii="仿宋" w:hAnsi="仿宋" w:eastAsia="仿宋" w:cs="仿宋"/>
                <w:kern w:val="0"/>
                <w:sz w:val="24"/>
                <w:szCs w:val="24"/>
              </w:rPr>
              <w:t>定期组织健康检查</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9.6.2</w:t>
            </w:r>
          </w:p>
        </w:tc>
        <w:tc>
          <w:tcPr>
            <w:tcW w:w="3820" w:type="dxa"/>
            <w:tcMar>
              <w:left w:w="45" w:type="dxa"/>
              <w:right w:w="45" w:type="dxa"/>
            </w:tcMar>
            <w:vAlign w:val="center"/>
          </w:tcPr>
          <w:p>
            <w:pPr>
              <w:widowControl/>
              <w:spacing w:line="300" w:lineRule="exact"/>
              <w:rPr>
                <w:rFonts w:hint="eastAsia" w:ascii="仿宋" w:hAnsi="仿宋" w:eastAsia="仿宋" w:cs="仿宋"/>
                <w:sz w:val="24"/>
                <w:szCs w:val="24"/>
              </w:rPr>
            </w:pPr>
            <w:r>
              <w:rPr>
                <w:rFonts w:hint="eastAsia" w:ascii="仿宋" w:hAnsi="仿宋" w:eastAsia="仿宋" w:cs="仿宋"/>
                <w:kern w:val="0"/>
                <w:sz w:val="24"/>
                <w:szCs w:val="24"/>
              </w:rPr>
              <w:t>动物实验按相关规定进行伦理审查，保障动物权益</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（205）学校有伦理审查机构，查看伦理审查记录</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9.7</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9.7.1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生物废弃物的中转和处置规范</w:t>
            </w:r>
          </w:p>
        </w:tc>
        <w:tc>
          <w:tcPr>
            <w:tcW w:w="8841" w:type="dxa"/>
            <w:tcMar>
              <w:left w:w="45" w:type="dxa"/>
              <w:right w:w="45" w:type="dxa"/>
            </w:tcMar>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（206）学校与有资质的单位签约处置感染性废物，有交接记录，形成电子或者纸质台账；</w:t>
            </w:r>
          </w:p>
          <w:p>
            <w:pPr>
              <w:rPr>
                <w:rFonts w:hint="eastAsia" w:ascii="仿宋" w:hAnsi="仿宋" w:eastAsia="仿宋" w:cs="仿宋"/>
                <w:bCs/>
                <w:kern w:val="0"/>
                <w:sz w:val="24"/>
                <w:szCs w:val="24"/>
              </w:rPr>
            </w:pPr>
            <w:r>
              <w:rPr>
                <w:rFonts w:hint="eastAsia" w:ascii="仿宋" w:hAnsi="仿宋" w:eastAsia="仿宋" w:cs="仿宋"/>
                <w:kern w:val="0"/>
                <w:sz w:val="24"/>
                <w:szCs w:val="24"/>
              </w:rPr>
              <w:t>（207）学校有生物废弃物中转站或收集点，生物废物及时收集转运</w:t>
            </w:r>
          </w:p>
        </w:tc>
        <w:tc>
          <w:tcPr>
            <w:tcW w:w="1362" w:type="dxa"/>
            <w:tcMar>
              <w:left w:w="45" w:type="dxa"/>
              <w:right w:w="45" w:type="dxa"/>
            </w:tcMar>
            <w:vAlign w:val="center"/>
          </w:tcPr>
          <w:p>
            <w:pPr>
              <w:widowControl/>
              <w:spacing w:line="300" w:lineRule="exact"/>
              <w:rPr>
                <w:rFonts w:hint="eastAsia"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9.7.2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生物废弃物与其他类别废物分开，且做好防护和消杀</w:t>
            </w:r>
          </w:p>
        </w:tc>
        <w:tc>
          <w:tcPr>
            <w:tcW w:w="8841" w:type="dxa"/>
            <w:tcMar>
              <w:left w:w="45" w:type="dxa"/>
              <w:right w:w="45" w:type="dxa"/>
            </w:tcMar>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（208）生物废物应与化学废物、生活垃圾等分开存储；</w:t>
            </w:r>
          </w:p>
          <w:p>
            <w:pPr>
              <w:rPr>
                <w:rFonts w:hint="eastAsia" w:ascii="仿宋" w:hAnsi="仿宋" w:eastAsia="仿宋" w:cs="仿宋"/>
                <w:kern w:val="0"/>
                <w:sz w:val="24"/>
                <w:szCs w:val="24"/>
              </w:rPr>
            </w:pPr>
            <w:r>
              <w:rPr>
                <w:rFonts w:hint="eastAsia" w:ascii="仿宋" w:hAnsi="仿宋" w:eastAsia="仿宋" w:cs="仿宋"/>
                <w:kern w:val="0"/>
                <w:sz w:val="24"/>
                <w:szCs w:val="24"/>
              </w:rPr>
              <w:t>（209）实验室内配备生物废物垃圾桶（内置生物废物专用塑料袋），并粘贴专用标签标识；</w:t>
            </w:r>
          </w:p>
          <w:p>
            <w:pPr>
              <w:rPr>
                <w:rFonts w:hint="eastAsia" w:ascii="仿宋" w:hAnsi="仿宋" w:eastAsia="仿宋" w:cs="仿宋"/>
                <w:kern w:val="0"/>
                <w:sz w:val="24"/>
                <w:szCs w:val="24"/>
              </w:rPr>
            </w:pPr>
            <w:r>
              <w:rPr>
                <w:rFonts w:hint="eastAsia" w:ascii="仿宋" w:hAnsi="仿宋" w:eastAsia="仿宋" w:cs="仿宋"/>
                <w:kern w:val="0"/>
                <w:sz w:val="24"/>
                <w:szCs w:val="24"/>
              </w:rPr>
              <w:t>（210）刀片、移液枪头等尖锐物应使用利器盒或耐扎纸板箱盛放，送储时再装入生物废物专用塑料袋，贴好标签；</w:t>
            </w:r>
          </w:p>
          <w:p>
            <w:pPr>
              <w:rPr>
                <w:rFonts w:hint="eastAsia" w:ascii="仿宋" w:hAnsi="仿宋" w:eastAsia="仿宋" w:cs="仿宋"/>
                <w:kern w:val="0"/>
                <w:sz w:val="24"/>
                <w:szCs w:val="24"/>
              </w:rPr>
            </w:pPr>
            <w:r>
              <w:rPr>
                <w:rFonts w:hint="eastAsia" w:ascii="仿宋" w:hAnsi="仿宋" w:eastAsia="仿宋" w:cs="仿宋"/>
                <w:kern w:val="0"/>
                <w:sz w:val="24"/>
                <w:szCs w:val="24"/>
              </w:rPr>
              <w:t>（211）动物实验结束后，动物尸体及组织应做无害化处理，废物彻底灭菌后方可处置；</w:t>
            </w:r>
          </w:p>
          <w:p>
            <w:pPr>
              <w:rPr>
                <w:rFonts w:hint="eastAsia" w:ascii="仿宋" w:hAnsi="仿宋" w:eastAsia="仿宋" w:cs="仿宋"/>
                <w:kern w:val="0"/>
                <w:sz w:val="24"/>
                <w:szCs w:val="24"/>
              </w:rPr>
            </w:pPr>
            <w:r>
              <w:rPr>
                <w:rFonts w:hint="eastAsia" w:ascii="仿宋" w:hAnsi="仿宋" w:eastAsia="仿宋" w:cs="仿宋"/>
                <w:kern w:val="0"/>
                <w:sz w:val="24"/>
                <w:szCs w:val="24"/>
              </w:rPr>
              <w:t>（212）涉及病原微生物或其他细菌类的生物废物必须进行高温高压灭菌或化学浸泡处理，然后由有资质的公司进行最终处置；</w:t>
            </w:r>
          </w:p>
          <w:p>
            <w:pPr>
              <w:rPr>
                <w:rFonts w:hint="eastAsia" w:ascii="仿宋" w:hAnsi="仿宋" w:eastAsia="仿宋" w:cs="仿宋"/>
                <w:bCs/>
                <w:kern w:val="0"/>
                <w:sz w:val="24"/>
                <w:szCs w:val="24"/>
              </w:rPr>
            </w:pPr>
            <w:r>
              <w:rPr>
                <w:rFonts w:hint="eastAsia" w:ascii="仿宋" w:hAnsi="仿宋" w:eastAsia="仿宋" w:cs="仿宋"/>
                <w:kern w:val="0"/>
                <w:sz w:val="24"/>
                <w:szCs w:val="24"/>
              </w:rPr>
              <w:t>（213）高致病性生物材料废物处置实现溯源追踪</w:t>
            </w:r>
          </w:p>
        </w:tc>
        <w:tc>
          <w:tcPr>
            <w:tcW w:w="1362" w:type="dxa"/>
            <w:tcMar>
              <w:left w:w="45" w:type="dxa"/>
              <w:right w:w="45" w:type="dxa"/>
            </w:tcMar>
            <w:vAlign w:val="center"/>
          </w:tcPr>
          <w:p>
            <w:pPr>
              <w:widowControl/>
              <w:spacing w:line="300" w:lineRule="exact"/>
              <w:rPr>
                <w:rFonts w:hint="eastAsia"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10</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10.1</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10.1.1</w:t>
            </w:r>
          </w:p>
        </w:tc>
        <w:tc>
          <w:tcPr>
            <w:tcW w:w="3820"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sz w:val="24"/>
                <w:szCs w:val="24"/>
              </w:rPr>
              <w:t>辐射工作</w:t>
            </w:r>
            <w:r>
              <w:rPr>
                <w:rFonts w:hint="eastAsia" w:ascii="仿宋" w:hAnsi="仿宋" w:eastAsia="仿宋" w:cs="仿宋"/>
                <w:bCs/>
                <w:kern w:val="0"/>
                <w:sz w:val="24"/>
                <w:szCs w:val="24"/>
              </w:rPr>
              <w:t>单位须</w:t>
            </w:r>
            <w:r>
              <w:rPr>
                <w:rFonts w:hint="eastAsia" w:ascii="仿宋" w:hAnsi="仿宋" w:eastAsia="仿宋" w:cs="仿宋"/>
                <w:kern w:val="0"/>
                <w:sz w:val="24"/>
                <w:szCs w:val="24"/>
              </w:rPr>
              <w:t>取得辐射安全许可证</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（214）按规定在放射性核素种类和用量以及射线种类许可范围内开展实验。除已被豁免管理外，射线装置、放射源或者非密封放射性物质应纳入许可证范畴</w:t>
            </w:r>
          </w:p>
        </w:tc>
        <w:tc>
          <w:tcPr>
            <w:tcW w:w="1362" w:type="dxa"/>
            <w:tcMar>
              <w:left w:w="45" w:type="dxa"/>
              <w:right w:w="45" w:type="dxa"/>
            </w:tcMar>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10.1.2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sz w:val="24"/>
                <w:szCs w:val="24"/>
              </w:rPr>
              <w:t>辐射工作</w:t>
            </w:r>
            <w:r>
              <w:rPr>
                <w:rFonts w:hint="eastAsia" w:ascii="仿宋" w:hAnsi="仿宋" w:eastAsia="仿宋" w:cs="仿宋"/>
                <w:kern w:val="0"/>
                <w:sz w:val="24"/>
                <w:szCs w:val="24"/>
              </w:rPr>
              <w:t>人员须经过专门培训，定期参加职业体检</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（215）辐射工作人员具有《辐射安全与防护培训合格证书》，</w:t>
            </w:r>
            <w:bookmarkStart w:id="0" w:name="_Hlk67117721"/>
            <w:r>
              <w:rPr>
                <w:rFonts w:hint="eastAsia" w:ascii="仿宋" w:hAnsi="仿宋" w:eastAsia="仿宋" w:cs="仿宋"/>
                <w:kern w:val="0"/>
                <w:sz w:val="24"/>
                <w:szCs w:val="24"/>
              </w:rPr>
              <w:t>或者《生态环境部辐射安全与防护考核通过报告单</w:t>
            </w:r>
            <w:bookmarkEnd w:id="0"/>
            <w:r>
              <w:rPr>
                <w:rFonts w:hint="eastAsia" w:ascii="仿宋" w:hAnsi="仿宋" w:eastAsia="仿宋" w:cs="仿宋"/>
                <w:kern w:val="0"/>
                <w:sz w:val="24"/>
                <w:szCs w:val="24"/>
              </w:rPr>
              <w:t>》；</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（216）</w:t>
            </w:r>
            <w:r>
              <w:rPr>
                <w:rFonts w:hint="eastAsia" w:ascii="仿宋" w:hAnsi="仿宋" w:eastAsia="仿宋" w:cs="仿宋"/>
                <w:sz w:val="24"/>
                <w:szCs w:val="24"/>
              </w:rPr>
              <w:t>辐射工作</w:t>
            </w:r>
            <w:r>
              <w:rPr>
                <w:rFonts w:hint="eastAsia" w:ascii="仿宋" w:hAnsi="仿宋" w:eastAsia="仿宋" w:cs="仿宋"/>
                <w:kern w:val="0"/>
                <w:sz w:val="24"/>
                <w:szCs w:val="24"/>
              </w:rPr>
              <w:t>人员按时参加放射性职业体检（2年1次），有健康档案；</w:t>
            </w:r>
          </w:p>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（217）</w:t>
            </w:r>
            <w:r>
              <w:rPr>
                <w:rFonts w:hint="eastAsia" w:ascii="仿宋" w:hAnsi="仿宋" w:eastAsia="仿宋" w:cs="仿宋"/>
                <w:sz w:val="24"/>
                <w:szCs w:val="24"/>
              </w:rPr>
              <w:t>辐射工作</w:t>
            </w:r>
            <w:r>
              <w:rPr>
                <w:rFonts w:hint="eastAsia" w:ascii="仿宋" w:hAnsi="仿宋" w:eastAsia="仿宋" w:cs="仿宋"/>
                <w:kern w:val="0"/>
                <w:sz w:val="24"/>
                <w:szCs w:val="24"/>
              </w:rPr>
              <w:t>人员进入实验场所须佩带个人剂量计，剂量计委托有资质的单位按时进行剂量监测（3个月一次）</w:t>
            </w:r>
          </w:p>
        </w:tc>
        <w:tc>
          <w:tcPr>
            <w:tcW w:w="1362" w:type="dxa"/>
            <w:tcMar>
              <w:left w:w="45" w:type="dxa"/>
              <w:right w:w="45" w:type="dxa"/>
            </w:tcMar>
            <w:vAlign w:val="center"/>
          </w:tcPr>
          <w:p>
            <w:pPr>
              <w:spacing w:line="360" w:lineRule="auto"/>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10.1.3</w:t>
            </w:r>
          </w:p>
        </w:tc>
        <w:tc>
          <w:tcPr>
            <w:tcW w:w="3820" w:type="dxa"/>
            <w:tcMar>
              <w:left w:w="45" w:type="dxa"/>
              <w:right w:w="45" w:type="dxa"/>
            </w:tcMar>
            <w:vAlign w:val="center"/>
          </w:tcPr>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核材料许可证持有单位须建立专职机构或指定专人负责保管核材料，执行国家法律法规要求。有帐目与报告制度，保证帐物相符</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bCs/>
                <w:kern w:val="0"/>
                <w:sz w:val="24"/>
                <w:szCs w:val="24"/>
              </w:rPr>
              <w:t>（218）持有核材料数量达到法定要求的单位须</w:t>
            </w:r>
            <w:r>
              <w:rPr>
                <w:rFonts w:hint="eastAsia" w:ascii="仿宋" w:hAnsi="仿宋" w:eastAsia="仿宋" w:cs="仿宋"/>
                <w:kern w:val="0"/>
                <w:sz w:val="24"/>
                <w:szCs w:val="24"/>
              </w:rPr>
              <w:t>取得核材料许可证，</w:t>
            </w:r>
            <w:r>
              <w:rPr>
                <w:rFonts w:hint="eastAsia" w:ascii="仿宋" w:hAnsi="仿宋" w:eastAsia="仿宋" w:cs="仿宋"/>
                <w:sz w:val="24"/>
                <w:szCs w:val="24"/>
              </w:rPr>
              <w:t>有专职机构或指定专人负责核材料管制工作，核材料衡算和核安保工作执行国家法律法规要求</w:t>
            </w:r>
          </w:p>
        </w:tc>
        <w:tc>
          <w:tcPr>
            <w:tcW w:w="1362" w:type="dxa"/>
            <w:tcMar>
              <w:left w:w="45" w:type="dxa"/>
              <w:right w:w="45" w:type="dxa"/>
            </w:tcMar>
            <w:vAlign w:val="center"/>
          </w:tcPr>
          <w:p>
            <w:pPr>
              <w:spacing w:line="360" w:lineRule="auto"/>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10.2</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10.2.1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辐射设施和场所应设有警示、连锁和报警装置</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（219）放射源储存库应设“双人双锁”，并有安全报警系统和视频监控系统；</w:t>
            </w:r>
          </w:p>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（220）辐照设施设备和2类以上射线装置具有能正常工作的安全连锁装置和报警装置，有明显的安全警示标识、警戒线和剂量报警仪</w:t>
            </w:r>
          </w:p>
        </w:tc>
        <w:tc>
          <w:tcPr>
            <w:tcW w:w="1362" w:type="dxa"/>
            <w:tcMar>
              <w:left w:w="45" w:type="dxa"/>
              <w:right w:w="45" w:type="dxa"/>
            </w:tcMar>
            <w:vAlign w:val="center"/>
          </w:tcPr>
          <w:p>
            <w:pPr>
              <w:spacing w:line="360" w:lineRule="auto"/>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10.2.2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sz w:val="24"/>
                <w:szCs w:val="24"/>
              </w:rPr>
              <w:t>辐射实验场所每年有合格的实验场所检测报告</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（221）查</w:t>
            </w:r>
            <w:r>
              <w:rPr>
                <w:rFonts w:hint="eastAsia" w:ascii="仿宋" w:hAnsi="仿宋" w:eastAsia="仿宋" w:cs="仿宋"/>
                <w:kern w:val="0"/>
                <w:sz w:val="24"/>
                <w:szCs w:val="24"/>
              </w:rPr>
              <w:t>看场所辐射环境监测报告</w:t>
            </w:r>
          </w:p>
        </w:tc>
        <w:tc>
          <w:tcPr>
            <w:tcW w:w="1362" w:type="dxa"/>
            <w:tcMar>
              <w:left w:w="45" w:type="dxa"/>
              <w:right w:w="45" w:type="dxa"/>
            </w:tcMar>
            <w:vAlign w:val="center"/>
          </w:tcPr>
          <w:p>
            <w:pPr>
              <w:spacing w:line="360" w:lineRule="auto"/>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10.2.3</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放射性物质的采购、转移和运输应按规定报批</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（222）放射源和放射性物质的采购和转让转移有学校及生态环境部门的审批备案材料，采购和转让转移前必须先做环境影响评价工作；</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（223）放射性物质的转移和运输有学校及公安部门的审批备案材料；</w:t>
            </w:r>
          </w:p>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（224）放射源、放射性物质以及3类以上射线装置储存和使用场所变更应重新开展环境影响评价</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10.3</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10.3.1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各类放射性装置有符合国家相关规定的操作规程、安保方案及应急预案，并遵照执行</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（225）重点关注γ辐照、电子加速器、射线探伤仪、非密封性放射性实验操作、5类以上的密封性放射性实验操作；</w:t>
            </w:r>
            <w:bookmarkStart w:id="1" w:name="_Hlk67119357"/>
          </w:p>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（226）查看辐射事故应急预案</w:t>
            </w:r>
            <w:bookmarkEnd w:id="1"/>
            <w:r>
              <w:rPr>
                <w:rFonts w:hint="eastAsia" w:ascii="仿宋" w:hAnsi="仿宋" w:eastAsia="仿宋" w:cs="仿宋"/>
                <w:kern w:val="0"/>
                <w:sz w:val="24"/>
                <w:szCs w:val="24"/>
              </w:rPr>
              <w:t>及应急演练记录（每年不少于一次演练）</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10.3.2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放射源及设备报废时有符合国家相关规定的处置方案或回收协议</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（227）中、长半衰期核素固液废物有符合国家相关规定的处置方案或回收协议，短半衰期核素固液废弃物放置10个半衰期经检测达标后作为普通废物处理，并有处置记录；</w:t>
            </w:r>
          </w:p>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（228）报废含有放射源或可产生放射性的设备，需报学校管理部门同意，并按国家规定进行退役处置。</w:t>
            </w:r>
            <w:r>
              <w:rPr>
                <w:rFonts w:hint="eastAsia" w:ascii="仿宋" w:hAnsi="仿宋" w:eastAsia="仿宋" w:cs="仿宋"/>
                <w:bCs/>
                <w:kern w:val="0"/>
                <w:sz w:val="24"/>
                <w:szCs w:val="24"/>
              </w:rPr>
              <w:t>X光管报废时应破坏高压设备，拍照留存；</w:t>
            </w:r>
          </w:p>
          <w:p>
            <w:pPr>
              <w:widowControl/>
              <w:spacing w:line="300" w:lineRule="exact"/>
              <w:rPr>
                <w:rFonts w:hint="eastAsia" w:ascii="仿宋" w:hAnsi="仿宋" w:eastAsia="仿宋" w:cs="仿宋"/>
                <w:kern w:val="0"/>
                <w:sz w:val="24"/>
                <w:szCs w:val="24"/>
              </w:rPr>
            </w:pPr>
            <w:r>
              <w:rPr>
                <w:rFonts w:hint="eastAsia" w:ascii="仿宋" w:hAnsi="仿宋" w:eastAsia="仿宋" w:cs="仿宋"/>
                <w:bCs/>
                <w:kern w:val="0"/>
                <w:sz w:val="24"/>
                <w:szCs w:val="24"/>
              </w:rPr>
              <w:t>（229）</w:t>
            </w:r>
            <w:r>
              <w:rPr>
                <w:rFonts w:hint="eastAsia" w:ascii="仿宋" w:hAnsi="仿宋" w:eastAsia="仿宋" w:cs="仿宋"/>
                <w:kern w:val="0"/>
                <w:sz w:val="24"/>
                <w:szCs w:val="24"/>
              </w:rPr>
              <w:t>涉源实验场所退役，须按国家相关规定执行</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10.3.3</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放射性废物（源）应严加管理，不得作为普通废物处理，不得擅自处置</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bookmarkStart w:id="2" w:name="_Hlk67118907"/>
            <w:r>
              <w:rPr>
                <w:rFonts w:hint="eastAsia" w:ascii="仿宋" w:hAnsi="仿宋" w:eastAsia="仿宋" w:cs="仿宋"/>
                <w:kern w:val="0"/>
                <w:sz w:val="24"/>
                <w:szCs w:val="24"/>
              </w:rPr>
              <w:t>（230）相关实验室应当配置专门的放射性废物收集桶；放射性废液送贮前应进行固化整备；</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（231）放射性废物应及时送交城市放射性废物库收贮；</w:t>
            </w:r>
            <w:bookmarkEnd w:id="2"/>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（232）排放气态或液态放射性流出物应严格按照环评和地方生态环境部门批准的排放量和排放方式执行</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11</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11.1</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11.1.1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建立设备台账，设备上有资产标签，有明确的管理人员</w:t>
            </w:r>
          </w:p>
        </w:tc>
        <w:tc>
          <w:tcPr>
            <w:tcW w:w="8841" w:type="dxa"/>
            <w:tcMar>
              <w:left w:w="45" w:type="dxa"/>
              <w:right w:w="45" w:type="dxa"/>
            </w:tcMar>
            <w:vAlign w:val="center"/>
          </w:tcPr>
          <w:p>
            <w:pPr>
              <w:widowControl/>
              <w:spacing w:line="300" w:lineRule="exact"/>
              <w:rPr>
                <w:rFonts w:hint="eastAsia" w:ascii="仿宋" w:hAnsi="仿宋" w:eastAsia="仿宋" w:cs="仿宋"/>
                <w:b/>
                <w:bCs/>
                <w:kern w:val="0"/>
                <w:sz w:val="24"/>
                <w:szCs w:val="24"/>
              </w:rPr>
            </w:pPr>
            <w:r>
              <w:rPr>
                <w:rFonts w:hint="eastAsia" w:ascii="仿宋" w:hAnsi="仿宋" w:eastAsia="仿宋" w:cs="仿宋"/>
                <w:kern w:val="0"/>
                <w:sz w:val="24"/>
                <w:szCs w:val="24"/>
              </w:rPr>
              <w:t>（233）查看电子或纸质台账</w:t>
            </w:r>
          </w:p>
        </w:tc>
        <w:tc>
          <w:tcPr>
            <w:tcW w:w="1362" w:type="dxa"/>
            <w:tcMar>
              <w:left w:w="45" w:type="dxa"/>
              <w:right w:w="45" w:type="dxa"/>
            </w:tcMar>
            <w:vAlign w:val="center"/>
          </w:tcPr>
          <w:p>
            <w:pPr>
              <w:widowControl/>
              <w:spacing w:line="300" w:lineRule="exact"/>
              <w:rPr>
                <w:rFonts w:hint="eastAsia"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11.1.2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大型、特种设备的使用需符合相关规定</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（234）大型仪器设备、高功率的设备与电路容量相匹配，有设备运行维护的记录，有安全操作规程或注意事项</w:t>
            </w:r>
          </w:p>
        </w:tc>
        <w:tc>
          <w:tcPr>
            <w:tcW w:w="1362" w:type="dxa"/>
            <w:tcMar>
              <w:left w:w="45" w:type="dxa"/>
              <w:right w:w="45" w:type="dxa"/>
            </w:tcMar>
            <w:vAlign w:val="center"/>
          </w:tcPr>
          <w:p>
            <w:pPr>
              <w:widowControl/>
              <w:spacing w:line="300" w:lineRule="exact"/>
              <w:rPr>
                <w:rFonts w:hint="eastAsia"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11.1.3</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仪器设备的接地和用电符合相关要求</w:t>
            </w:r>
          </w:p>
        </w:tc>
        <w:tc>
          <w:tcPr>
            <w:tcW w:w="8841" w:type="dxa"/>
            <w:tcMar>
              <w:left w:w="45" w:type="dxa"/>
              <w:right w:w="45" w:type="dxa"/>
            </w:tcMar>
            <w:vAlign w:val="center"/>
          </w:tcPr>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（235）仪器设备接地系统应按规范要求，采用铜质材料，接地电阻不高于0.5欧；</w:t>
            </w:r>
          </w:p>
          <w:p>
            <w:pPr>
              <w:widowControl/>
              <w:spacing w:line="300" w:lineRule="exact"/>
              <w:rPr>
                <w:rFonts w:hint="eastAsia" w:ascii="仿宋" w:hAnsi="仿宋" w:eastAsia="仿宋" w:cs="仿宋"/>
                <w:kern w:val="0"/>
                <w:sz w:val="24"/>
                <w:szCs w:val="24"/>
              </w:rPr>
            </w:pPr>
            <w:r>
              <w:rPr>
                <w:rFonts w:hint="eastAsia" w:ascii="仿宋" w:hAnsi="仿宋" w:eastAsia="仿宋" w:cs="仿宋"/>
                <w:sz w:val="24"/>
                <w:szCs w:val="24"/>
              </w:rPr>
              <w:t>（236）电脑、空调、电加热器等不随意开机过夜。</w:t>
            </w:r>
            <w:r>
              <w:rPr>
                <w:rFonts w:hint="eastAsia" w:ascii="仿宋" w:hAnsi="仿宋" w:eastAsia="仿宋" w:cs="仿宋"/>
                <w:kern w:val="0"/>
                <w:sz w:val="24"/>
                <w:szCs w:val="24"/>
              </w:rPr>
              <w:t>对于不能断电的特殊仪器设备，采取必要的防护措施（如双路供电、不间断电源、监控报警等）</w:t>
            </w:r>
          </w:p>
        </w:tc>
        <w:tc>
          <w:tcPr>
            <w:tcW w:w="1362" w:type="dxa"/>
            <w:tcMar>
              <w:left w:w="45" w:type="dxa"/>
              <w:right w:w="45" w:type="dxa"/>
            </w:tcMar>
            <w:vAlign w:val="center"/>
          </w:tcPr>
          <w:p>
            <w:pPr>
              <w:widowControl/>
              <w:spacing w:line="300" w:lineRule="exact"/>
              <w:rPr>
                <w:rFonts w:hint="eastAsia"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11.1.4</w:t>
            </w:r>
          </w:p>
        </w:tc>
        <w:tc>
          <w:tcPr>
            <w:tcW w:w="3820" w:type="dxa"/>
            <w:tcMar>
              <w:left w:w="45" w:type="dxa"/>
              <w:right w:w="45" w:type="dxa"/>
            </w:tcMar>
            <w:vAlign w:val="center"/>
          </w:tcPr>
          <w:p>
            <w:pPr>
              <w:spacing w:line="300" w:lineRule="exact"/>
              <w:rPr>
                <w:rFonts w:hint="eastAsia" w:ascii="仿宋" w:hAnsi="仿宋" w:eastAsia="仿宋" w:cs="仿宋"/>
                <w:sz w:val="24"/>
                <w:szCs w:val="24"/>
              </w:rPr>
            </w:pPr>
            <w:r>
              <w:rPr>
                <w:rFonts w:hint="eastAsia" w:ascii="仿宋" w:hAnsi="仿宋" w:eastAsia="仿宋" w:cs="仿宋"/>
                <w:sz w:val="24"/>
                <w:szCs w:val="24"/>
              </w:rPr>
              <w:t>特殊设备应配备相应安全防护措施</w:t>
            </w:r>
          </w:p>
        </w:tc>
        <w:tc>
          <w:tcPr>
            <w:tcW w:w="8841" w:type="dxa"/>
            <w:tcMar>
              <w:left w:w="45" w:type="dxa"/>
              <w:right w:w="45" w:type="dxa"/>
            </w:tcMar>
            <w:vAlign w:val="center"/>
          </w:tcPr>
          <w:p>
            <w:pPr>
              <w:widowControl/>
              <w:spacing w:line="300" w:lineRule="exact"/>
              <w:rPr>
                <w:rFonts w:hint="eastAsia" w:ascii="仿宋" w:hAnsi="仿宋" w:eastAsia="仿宋" w:cs="仿宋"/>
                <w:sz w:val="24"/>
                <w:szCs w:val="24"/>
              </w:rPr>
            </w:pPr>
            <w:r>
              <w:rPr>
                <w:rFonts w:hint="eastAsia" w:ascii="仿宋" w:hAnsi="仿宋" w:eastAsia="仿宋" w:cs="仿宋"/>
                <w:kern w:val="0"/>
                <w:sz w:val="24"/>
                <w:szCs w:val="24"/>
              </w:rPr>
              <w:t>（237）关注高温、高压、高速运动、电磁辐射等特殊设备，对使用者有培训要求，有安全警示标识和</w:t>
            </w:r>
            <w:r>
              <w:rPr>
                <w:rFonts w:hint="eastAsia" w:ascii="仿宋" w:hAnsi="仿宋" w:eastAsia="仿宋" w:cs="仿宋"/>
                <w:sz w:val="24"/>
                <w:szCs w:val="24"/>
              </w:rPr>
              <w:t>安全警示线（黄色），设备安全防护措施完好；</w:t>
            </w:r>
          </w:p>
          <w:p>
            <w:pPr>
              <w:widowControl/>
              <w:spacing w:line="300" w:lineRule="exact"/>
              <w:rPr>
                <w:rFonts w:hint="eastAsia" w:ascii="仿宋" w:hAnsi="仿宋" w:eastAsia="仿宋" w:cs="仿宋"/>
                <w:bCs/>
                <w:kern w:val="0"/>
                <w:sz w:val="24"/>
                <w:szCs w:val="24"/>
              </w:rPr>
            </w:pPr>
            <w:r>
              <w:rPr>
                <w:rFonts w:hint="eastAsia" w:ascii="仿宋" w:hAnsi="仿宋" w:eastAsia="仿宋" w:cs="仿宋"/>
                <w:sz w:val="24"/>
                <w:szCs w:val="24"/>
              </w:rPr>
              <w:t>（238）</w:t>
            </w:r>
            <w:r>
              <w:rPr>
                <w:rFonts w:hint="eastAsia" w:ascii="仿宋" w:hAnsi="仿宋" w:eastAsia="仿宋" w:cs="仿宋"/>
                <w:kern w:val="0"/>
                <w:sz w:val="24"/>
                <w:szCs w:val="24"/>
              </w:rPr>
              <w:t>自研自制设备，须充分考虑安全系数，并有安全防护措施</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11.2</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11.2.1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机械设备应保持清洁整齐，可靠接地</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（239）机床应保持清洁整齐，严禁在床头、床面、刀架上放置物品；</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（240）机械设备可靠接地，实验结束后，应切断电源，整理好场地并将实验用具等摆放整齐，及时清理机械设备产生的废渣、废屑</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11.2.2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操作机械设备时实验人员应做好个人防护</w:t>
            </w:r>
          </w:p>
        </w:tc>
        <w:tc>
          <w:tcPr>
            <w:tcW w:w="8841" w:type="dxa"/>
            <w:tcMar>
              <w:left w:w="45" w:type="dxa"/>
              <w:right w:w="45" w:type="dxa"/>
            </w:tcMar>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（241）个人防护用品要穿戴齐全，如工作服、工作帽、工作鞋、防护眼镜等。操作冷加工设备必须穿“三紧式”工作服，不能留长发（长发要盘在工作帽内），禁止戴手套；</w:t>
            </w:r>
          </w:p>
          <w:p>
            <w:pPr>
              <w:rPr>
                <w:rFonts w:hint="eastAsia" w:ascii="仿宋" w:hAnsi="仿宋" w:eastAsia="仿宋" w:cs="仿宋"/>
                <w:kern w:val="0"/>
                <w:sz w:val="24"/>
                <w:szCs w:val="24"/>
              </w:rPr>
            </w:pPr>
            <w:r>
              <w:rPr>
                <w:rFonts w:hint="eastAsia" w:ascii="仿宋" w:hAnsi="仿宋" w:eastAsia="仿宋" w:cs="仿宋"/>
                <w:kern w:val="0"/>
                <w:sz w:val="24"/>
                <w:szCs w:val="24"/>
              </w:rPr>
              <w:t>（242）进入高速切削机械操作工作场所，穿好工作服工作鞋、戴好防护眼镜、扣紧衣袖口、，戴好工作帽（长发学生必须将长发盘在工作帽内），禁止戴手套、长围巾、领带、手镯等配饰物，禁穿拖鞋、高跟鞋等。设备运转时严禁用手调整工件</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11.2.3</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铸锻及热处理实验应满足场地和防护要求</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（243）铸造实验场地宽敞、通道畅通，使用设备前，操作者要按要求穿戴好防护用品；</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（244）盐浴炉加热零件必须预先烘干，并用铁丝绑牢，缓慢放入炉中，以防盐液炸崩烫伤；</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（245）淬火油槽不得有水，油量不能过少，以免发生火灾；</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（246）与铁水接触的一切工具，使用前必须加热，严禁将冷的工具伸入铁水内，以免引起爆炸；</w:t>
            </w:r>
          </w:p>
          <w:p>
            <w:pPr>
              <w:widowControl/>
              <w:spacing w:line="300" w:lineRule="exact"/>
              <w:rPr>
                <w:rFonts w:hint="eastAsia" w:ascii="仿宋" w:hAnsi="仿宋" w:eastAsia="仿宋" w:cs="仿宋"/>
                <w:b/>
                <w:bCs/>
                <w:kern w:val="0"/>
                <w:sz w:val="24"/>
                <w:szCs w:val="24"/>
              </w:rPr>
            </w:pPr>
            <w:r>
              <w:rPr>
                <w:rFonts w:hint="eastAsia" w:ascii="仿宋" w:hAnsi="仿宋" w:eastAsia="仿宋" w:cs="仿宋"/>
                <w:kern w:val="0"/>
                <w:sz w:val="24"/>
                <w:szCs w:val="24"/>
              </w:rPr>
              <w:t xml:space="preserve">（247）锻压设备不得空打或大力敲打过薄锻件，锻造时锻件应达到850 </w:t>
            </w:r>
            <w:r>
              <w:rPr>
                <w:rFonts w:hint="eastAsia" w:ascii="仿宋" w:hAnsi="仿宋" w:eastAsia="仿宋" w:cs="仿宋"/>
                <w:kern w:val="0"/>
                <w:sz w:val="24"/>
                <w:szCs w:val="24"/>
                <w:lang w:eastAsia="ja-JP"/>
              </w:rPr>
              <w:t>℃</w:t>
            </w:r>
            <w:r>
              <w:rPr>
                <w:rFonts w:hint="eastAsia" w:ascii="仿宋" w:hAnsi="仿宋" w:eastAsia="仿宋" w:cs="仿宋"/>
                <w:kern w:val="0"/>
                <w:sz w:val="24"/>
                <w:szCs w:val="24"/>
              </w:rPr>
              <w:t>以上，锻锤空置时应垫有木块</w:t>
            </w:r>
          </w:p>
        </w:tc>
        <w:tc>
          <w:tcPr>
            <w:tcW w:w="1362" w:type="dxa"/>
            <w:tcMar>
              <w:left w:w="45" w:type="dxa"/>
              <w:right w:w="45" w:type="dxa"/>
            </w:tcMar>
            <w:vAlign w:val="center"/>
          </w:tcPr>
          <w:p>
            <w:pPr>
              <w:widowControl/>
              <w:spacing w:line="300" w:lineRule="exact"/>
              <w:rPr>
                <w:rFonts w:hint="eastAsia"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hint="eastAsia" w:ascii="仿宋" w:hAnsi="仿宋" w:eastAsia="仿宋" w:cs="仿宋"/>
                <w:sz w:val="24"/>
                <w:szCs w:val="24"/>
              </w:rPr>
            </w:pPr>
            <w:r>
              <w:rPr>
                <w:rFonts w:hint="eastAsia" w:ascii="仿宋" w:hAnsi="仿宋" w:eastAsia="仿宋" w:cs="仿宋"/>
                <w:kern w:val="0"/>
                <w:sz w:val="24"/>
                <w:szCs w:val="24"/>
              </w:rPr>
              <w:t>11.2.4</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高空作业应符合相关操作规程</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（248）在坠落高度基准面2米及以上有可能坠落的高处进行作业，须穿防滑鞋、佩戴安全帽、使用安全带；</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（249）临边作业须在临空一侧设置防护栏杆，有相关安全操作规程</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11.3</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11.3.1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电气设备的使用应符合用电安全规范</w:t>
            </w:r>
          </w:p>
        </w:tc>
        <w:tc>
          <w:tcPr>
            <w:tcW w:w="8841" w:type="dxa"/>
            <w:tcMar>
              <w:left w:w="45" w:type="dxa"/>
              <w:right w:w="45" w:type="dxa"/>
            </w:tcMar>
            <w:vAlign w:val="center"/>
          </w:tcPr>
          <w:p>
            <w:pPr>
              <w:widowControl/>
              <w:tabs>
                <w:tab w:val="left" w:pos="4321"/>
              </w:tabs>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（250）各种电器设备及电线应始终保持干燥，防止浸湿，以防短路引起火灾或烧坏电气设备；</w:t>
            </w:r>
          </w:p>
          <w:p>
            <w:pPr>
              <w:widowControl/>
              <w:tabs>
                <w:tab w:val="left" w:pos="4321"/>
              </w:tabs>
              <w:spacing w:line="300" w:lineRule="exact"/>
              <w:rPr>
                <w:rFonts w:hint="eastAsia" w:ascii="仿宋" w:hAnsi="仿宋" w:eastAsia="仿宋" w:cs="仿宋"/>
                <w:sz w:val="24"/>
                <w:szCs w:val="24"/>
              </w:rPr>
            </w:pPr>
            <w:r>
              <w:rPr>
                <w:rFonts w:hint="eastAsia" w:ascii="仿宋" w:hAnsi="仿宋" w:eastAsia="仿宋" w:cs="仿宋"/>
                <w:kern w:val="0"/>
                <w:sz w:val="24"/>
                <w:szCs w:val="24"/>
              </w:rPr>
              <w:t>（251）</w:t>
            </w:r>
            <w:r>
              <w:rPr>
                <w:rFonts w:hint="eastAsia" w:ascii="仿宋" w:hAnsi="仿宋" w:eastAsia="仿宋" w:cs="仿宋"/>
                <w:sz w:val="24"/>
                <w:szCs w:val="24"/>
              </w:rPr>
              <w:t>试验室内的功能间墙面都应设有专用接地母排，并设有多点接地引出端；</w:t>
            </w:r>
          </w:p>
          <w:p>
            <w:pPr>
              <w:widowControl/>
              <w:tabs>
                <w:tab w:val="left" w:pos="4321"/>
              </w:tabs>
              <w:spacing w:line="300" w:lineRule="exact"/>
              <w:rPr>
                <w:rFonts w:hint="eastAsia" w:ascii="仿宋" w:hAnsi="仿宋" w:eastAsia="仿宋" w:cs="仿宋"/>
                <w:kern w:val="0"/>
                <w:sz w:val="24"/>
                <w:szCs w:val="24"/>
              </w:rPr>
            </w:pPr>
            <w:r>
              <w:rPr>
                <w:rFonts w:hint="eastAsia" w:ascii="仿宋" w:hAnsi="仿宋" w:eastAsia="仿宋" w:cs="仿宋"/>
                <w:sz w:val="24"/>
                <w:szCs w:val="24"/>
              </w:rPr>
              <w:t>（252）高压、大电流等强电实验室</w:t>
            </w:r>
            <w:r>
              <w:rPr>
                <w:rFonts w:hint="eastAsia" w:ascii="仿宋" w:hAnsi="仿宋" w:eastAsia="仿宋" w:cs="仿宋"/>
                <w:kern w:val="0"/>
                <w:sz w:val="24"/>
                <w:szCs w:val="24"/>
              </w:rPr>
              <w:t>要设定安全距离，按规定设置安全警示牌、安全信号灯、联动式警铃、门锁，有安全隔离装置或屏蔽遮栏（由金属制成，并可靠接地，</w:t>
            </w:r>
            <w:r>
              <w:rPr>
                <w:rFonts w:hint="eastAsia" w:ascii="仿宋" w:hAnsi="仿宋" w:eastAsia="仿宋" w:cs="仿宋"/>
                <w:sz w:val="24"/>
                <w:szCs w:val="24"/>
              </w:rPr>
              <w:t>高度不低于2米</w:t>
            </w:r>
            <w:r>
              <w:rPr>
                <w:rFonts w:hint="eastAsia" w:ascii="仿宋" w:hAnsi="仿宋" w:eastAsia="仿宋" w:cs="仿宋"/>
                <w:kern w:val="0"/>
                <w:sz w:val="24"/>
                <w:szCs w:val="24"/>
              </w:rPr>
              <w:t>）；</w:t>
            </w:r>
          </w:p>
          <w:p>
            <w:pPr>
              <w:widowControl/>
              <w:tabs>
                <w:tab w:val="left" w:pos="4321"/>
              </w:tabs>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（253）控制室（控制台）应铺橡胶、绝缘垫等；</w:t>
            </w:r>
          </w:p>
          <w:p>
            <w:pPr>
              <w:widowControl/>
              <w:tabs>
                <w:tab w:val="left" w:pos="4321"/>
              </w:tabs>
              <w:spacing w:line="300" w:lineRule="exact"/>
              <w:rPr>
                <w:rFonts w:hint="eastAsia" w:ascii="仿宋" w:hAnsi="仿宋" w:eastAsia="仿宋" w:cs="仿宋"/>
                <w:sz w:val="24"/>
                <w:szCs w:val="24"/>
              </w:rPr>
            </w:pPr>
            <w:r>
              <w:rPr>
                <w:rFonts w:hint="eastAsia" w:ascii="仿宋" w:hAnsi="仿宋" w:eastAsia="仿宋" w:cs="仿宋"/>
                <w:kern w:val="0"/>
                <w:sz w:val="24"/>
                <w:szCs w:val="24"/>
              </w:rPr>
              <w:t>（254）</w:t>
            </w:r>
            <w:r>
              <w:rPr>
                <w:rFonts w:hint="eastAsia" w:ascii="仿宋" w:hAnsi="仿宋" w:eastAsia="仿宋" w:cs="仿宋"/>
                <w:sz w:val="24"/>
                <w:szCs w:val="24"/>
              </w:rPr>
              <w:t>强电实验室禁止存放易燃、易爆、易腐品，保持通风散热；</w:t>
            </w:r>
          </w:p>
          <w:p>
            <w:pPr>
              <w:widowControl/>
              <w:tabs>
                <w:tab w:val="left" w:pos="4321"/>
              </w:tabs>
              <w:spacing w:line="300" w:lineRule="exact"/>
              <w:rPr>
                <w:rFonts w:hint="eastAsia" w:ascii="仿宋" w:hAnsi="仿宋" w:eastAsia="仿宋" w:cs="仿宋"/>
                <w:sz w:val="24"/>
                <w:szCs w:val="24"/>
              </w:rPr>
            </w:pPr>
            <w:r>
              <w:rPr>
                <w:rFonts w:hint="eastAsia" w:ascii="仿宋" w:hAnsi="仿宋" w:eastAsia="仿宋" w:cs="仿宋"/>
                <w:sz w:val="24"/>
                <w:szCs w:val="24"/>
              </w:rPr>
              <w:t>（255）应为设备配备残余电流泄放专用的接地系统；</w:t>
            </w:r>
          </w:p>
          <w:p>
            <w:pPr>
              <w:widowControl/>
              <w:tabs>
                <w:tab w:val="left" w:pos="4321"/>
              </w:tabs>
              <w:spacing w:line="300" w:lineRule="exact"/>
              <w:rPr>
                <w:rFonts w:hint="eastAsia" w:ascii="仿宋" w:hAnsi="仿宋" w:eastAsia="仿宋" w:cs="仿宋"/>
                <w:sz w:val="24"/>
                <w:szCs w:val="24"/>
              </w:rPr>
            </w:pPr>
            <w:r>
              <w:rPr>
                <w:rFonts w:hint="eastAsia" w:ascii="仿宋" w:hAnsi="仿宋" w:eastAsia="仿宋" w:cs="仿宋"/>
                <w:sz w:val="24"/>
                <w:szCs w:val="24"/>
              </w:rPr>
              <w:t>（256）禁止在有可燃气体泄露隐患的环境中使用电动工具；电烙铁有专门搁架，用毕立即切断电源；</w:t>
            </w:r>
          </w:p>
          <w:p>
            <w:pPr>
              <w:widowControl/>
              <w:tabs>
                <w:tab w:val="left" w:pos="4321"/>
              </w:tabs>
              <w:spacing w:line="300" w:lineRule="exact"/>
              <w:rPr>
                <w:rFonts w:hint="eastAsia" w:ascii="仿宋" w:hAnsi="仿宋" w:eastAsia="仿宋" w:cs="仿宋"/>
                <w:kern w:val="0"/>
                <w:sz w:val="24"/>
                <w:szCs w:val="24"/>
              </w:rPr>
            </w:pPr>
            <w:r>
              <w:rPr>
                <w:rFonts w:hint="eastAsia" w:ascii="仿宋" w:hAnsi="仿宋" w:eastAsia="仿宋" w:cs="仿宋"/>
                <w:sz w:val="24"/>
                <w:szCs w:val="24"/>
              </w:rPr>
              <w:t>（257）强磁设备应配备与大地相连的金属屏蔽网</w:t>
            </w:r>
          </w:p>
        </w:tc>
        <w:tc>
          <w:tcPr>
            <w:tcW w:w="1362" w:type="dxa"/>
            <w:tcMar>
              <w:left w:w="45" w:type="dxa"/>
              <w:right w:w="45" w:type="dxa"/>
            </w:tcMar>
            <w:vAlign w:val="center"/>
          </w:tcPr>
          <w:p>
            <w:pPr>
              <w:widowControl/>
              <w:spacing w:line="300" w:lineRule="exact"/>
              <w:rPr>
                <w:rFonts w:hint="eastAsia"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11.3.2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操作电气设备应配备合适的防护器具</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（258）强电类实验必须二人（含）以上，操作时应戴绝缘手套；防护器具按规定进行周期试验或定期更换；</w:t>
            </w:r>
            <w:r>
              <w:rPr>
                <w:rFonts w:hint="eastAsia" w:ascii="仿宋" w:hAnsi="仿宋" w:eastAsia="仿宋" w:cs="仿宋"/>
                <w:sz w:val="24"/>
                <w:szCs w:val="24"/>
              </w:rPr>
              <w:t>静电场所，要保持空气湿润，工作人员要穿戴防静电服、手套和鞋靴</w:t>
            </w:r>
          </w:p>
        </w:tc>
        <w:tc>
          <w:tcPr>
            <w:tcW w:w="1362" w:type="dxa"/>
            <w:tcMar>
              <w:left w:w="45" w:type="dxa"/>
              <w:right w:w="45" w:type="dxa"/>
            </w:tcMar>
            <w:vAlign w:val="center"/>
          </w:tcPr>
          <w:p>
            <w:pPr>
              <w:widowControl/>
              <w:spacing w:line="300" w:lineRule="exact"/>
              <w:rPr>
                <w:rFonts w:hint="eastAsia"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11.4</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11.4.1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bCs/>
                <w:kern w:val="0"/>
                <w:sz w:val="24"/>
                <w:szCs w:val="24"/>
              </w:rPr>
              <w:t>激光实验室配有完备的安全屏蔽设施</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（259）功率较大的激光器有互锁装置、防护罩，激光照射方向不会对他人造成伤害，防止激光发射口及反射镜上扬</w:t>
            </w:r>
          </w:p>
        </w:tc>
        <w:tc>
          <w:tcPr>
            <w:tcW w:w="1362" w:type="dxa"/>
            <w:tcMar>
              <w:left w:w="45" w:type="dxa"/>
              <w:right w:w="45" w:type="dxa"/>
            </w:tcMar>
            <w:vAlign w:val="center"/>
          </w:tcPr>
          <w:p>
            <w:pPr>
              <w:widowControl/>
              <w:spacing w:line="300" w:lineRule="exact"/>
              <w:rPr>
                <w:rFonts w:hint="eastAsia"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11.4.2</w:t>
            </w:r>
          </w:p>
        </w:tc>
        <w:tc>
          <w:tcPr>
            <w:tcW w:w="3820"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激光实验时须佩戴合适的个人防护用具</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（260）操作人员穿戴防护眼镜等防护用品、不带手表等能反光的物品，</w:t>
            </w:r>
            <w:r>
              <w:rPr>
                <w:rFonts w:hint="eastAsia" w:ascii="仿宋" w:hAnsi="仿宋" w:eastAsia="仿宋" w:cs="仿宋"/>
                <w:sz w:val="24"/>
                <w:szCs w:val="24"/>
                <w:shd w:val="clear" w:color="auto" w:fill="FFFFFF"/>
              </w:rPr>
              <w:t>禁止直视激光束和它的反向光束，禁止对激光器件做任何目视准直操作，</w:t>
            </w:r>
            <w:r>
              <w:rPr>
                <w:rFonts w:hint="eastAsia" w:ascii="仿宋" w:hAnsi="仿宋" w:eastAsia="仿宋" w:cs="仿宋"/>
                <w:bCs/>
                <w:kern w:val="0"/>
                <w:sz w:val="24"/>
                <w:szCs w:val="24"/>
              </w:rPr>
              <w:t>禁止用眼睛检查激光器故障，激光器必须在断电情况下进行检查</w:t>
            </w:r>
          </w:p>
        </w:tc>
        <w:tc>
          <w:tcPr>
            <w:tcW w:w="1362" w:type="dxa"/>
            <w:tcMar>
              <w:left w:w="45" w:type="dxa"/>
              <w:right w:w="45" w:type="dxa"/>
            </w:tcMar>
            <w:vAlign w:val="center"/>
          </w:tcPr>
          <w:p>
            <w:pPr>
              <w:widowControl/>
              <w:spacing w:line="300" w:lineRule="exact"/>
              <w:rPr>
                <w:rFonts w:hint="eastAsia"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11.4.3</w:t>
            </w:r>
          </w:p>
        </w:tc>
        <w:tc>
          <w:tcPr>
            <w:tcW w:w="3820"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警告标识</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Cs/>
                <w:kern w:val="0"/>
                <w:sz w:val="24"/>
                <w:szCs w:val="24"/>
              </w:rPr>
              <w:t>（261）所有激光区域内张贴警告标识</w:t>
            </w:r>
          </w:p>
        </w:tc>
        <w:tc>
          <w:tcPr>
            <w:tcW w:w="1362" w:type="dxa"/>
            <w:tcMar>
              <w:left w:w="45" w:type="dxa"/>
              <w:right w:w="45" w:type="dxa"/>
            </w:tcMar>
            <w:vAlign w:val="center"/>
          </w:tcPr>
          <w:p>
            <w:pPr>
              <w:widowControl/>
              <w:spacing w:line="300" w:lineRule="exact"/>
              <w:rPr>
                <w:rFonts w:hint="eastAsia"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11.5</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11.5.1</w:t>
            </w:r>
          </w:p>
        </w:tc>
        <w:tc>
          <w:tcPr>
            <w:tcW w:w="3820" w:type="dxa"/>
            <w:tcMar>
              <w:left w:w="45" w:type="dxa"/>
              <w:right w:w="45" w:type="dxa"/>
            </w:tcMar>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粉尘爆炸危险场所，应选用防爆型的电气设备</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（262）防爆灯、防爆电气开关，导线敷设应选用镀锌管或水煤气管，必须达到整体防爆要求；</w:t>
            </w:r>
          </w:p>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（263）粉尘加工要有除尘装置，除尘器符合防静电安全要求，除尘设施应有阻爆、隔爆、泄爆装置，使用工具具有防爆功能或不产生火花</w:t>
            </w:r>
          </w:p>
        </w:tc>
        <w:tc>
          <w:tcPr>
            <w:tcW w:w="1362" w:type="dxa"/>
            <w:tcMar>
              <w:left w:w="45" w:type="dxa"/>
              <w:right w:w="45" w:type="dxa"/>
            </w:tcMar>
            <w:vAlign w:val="center"/>
          </w:tcPr>
          <w:p>
            <w:pPr>
              <w:pStyle w:val="55"/>
              <w:spacing w:line="360" w:lineRule="auto"/>
              <w:ind w:firstLine="0" w:firstLineChars="0"/>
              <w:rPr>
                <w:rFonts w:hint="eastAsia"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11.5.2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产生粉尘的实验场所，须穿戴合适的个人防护用具</w:t>
            </w:r>
          </w:p>
        </w:tc>
        <w:tc>
          <w:tcPr>
            <w:tcW w:w="8841" w:type="dxa"/>
            <w:tcMar>
              <w:left w:w="45" w:type="dxa"/>
              <w:right w:w="45" w:type="dxa"/>
            </w:tcMar>
            <w:vAlign w:val="center"/>
          </w:tcPr>
          <w:p>
            <w:pPr>
              <w:rPr>
                <w:rFonts w:hint="eastAsia" w:ascii="仿宋" w:hAnsi="仿宋" w:eastAsia="仿宋" w:cs="仿宋"/>
                <w:bCs/>
                <w:kern w:val="0"/>
                <w:sz w:val="24"/>
                <w:szCs w:val="24"/>
              </w:rPr>
            </w:pPr>
            <w:r>
              <w:rPr>
                <w:rFonts w:hint="eastAsia" w:ascii="仿宋" w:hAnsi="仿宋" w:eastAsia="仿宋" w:cs="仿宋"/>
                <w:kern w:val="0"/>
                <w:sz w:val="24"/>
                <w:szCs w:val="24"/>
              </w:rPr>
              <w:t>（264）粉尘爆炸危险场所应穿防静电棉质衣服，禁止穿化纤材料制作的衣服，工作时必须佩戴防尘口罩和护耳器</w:t>
            </w:r>
          </w:p>
        </w:tc>
        <w:tc>
          <w:tcPr>
            <w:tcW w:w="1362" w:type="dxa"/>
            <w:tcMar>
              <w:left w:w="45" w:type="dxa"/>
              <w:right w:w="45" w:type="dxa"/>
            </w:tcMar>
            <w:vAlign w:val="center"/>
          </w:tcPr>
          <w:p>
            <w:pPr>
              <w:widowControl/>
              <w:spacing w:line="300" w:lineRule="exact"/>
              <w:rPr>
                <w:rFonts w:hint="eastAsia"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11.5.3</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确保实验室粉尘浓度在爆炸限以下，并配备灭火装置</w:t>
            </w:r>
          </w:p>
        </w:tc>
        <w:tc>
          <w:tcPr>
            <w:tcW w:w="8841" w:type="dxa"/>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 xml:space="preserve">（265）粉尘浓度较高的场所，适当配备加湿装置；配备合适的灭火装置 </w:t>
            </w:r>
          </w:p>
        </w:tc>
        <w:tc>
          <w:tcPr>
            <w:tcW w:w="1362" w:type="dxa"/>
            <w:tcMar>
              <w:left w:w="45" w:type="dxa"/>
              <w:right w:w="45" w:type="dxa"/>
            </w:tcMar>
            <w:vAlign w:val="center"/>
          </w:tcPr>
          <w:p>
            <w:pPr>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12</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12.1</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12.1.1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符合《特种设备目录》要求的设备须取得《特种设备使用登记证》</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266）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1362" w:type="dxa"/>
            <w:tcMar>
              <w:left w:w="45" w:type="dxa"/>
              <w:right w:w="45" w:type="dxa"/>
            </w:tcMar>
            <w:vAlign w:val="center"/>
          </w:tcPr>
          <w:p>
            <w:pPr>
              <w:widowControl/>
              <w:spacing w:line="300" w:lineRule="exact"/>
              <w:rPr>
                <w:rFonts w:hint="eastAsia"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12.1.2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起重机械作业人员、检验单位须有相关资质</w:t>
            </w:r>
          </w:p>
        </w:tc>
        <w:tc>
          <w:tcPr>
            <w:tcW w:w="8841" w:type="dxa"/>
            <w:tcMar>
              <w:left w:w="45" w:type="dxa"/>
              <w:right w:w="45" w:type="dxa"/>
            </w:tcMar>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（267）起重机指挥、起重机司机须取得《特种设备作业人员证》，持证上岗，并每4年复审一次；</w:t>
            </w:r>
          </w:p>
          <w:p>
            <w:pPr>
              <w:rPr>
                <w:rFonts w:hint="eastAsia" w:ascii="仿宋" w:hAnsi="仿宋" w:eastAsia="仿宋" w:cs="仿宋"/>
                <w:kern w:val="0"/>
                <w:sz w:val="24"/>
                <w:szCs w:val="24"/>
              </w:rPr>
            </w:pPr>
            <w:r>
              <w:rPr>
                <w:rFonts w:hint="eastAsia" w:ascii="仿宋" w:hAnsi="仿宋" w:eastAsia="仿宋" w:cs="仿宋"/>
                <w:kern w:val="0"/>
                <w:sz w:val="24"/>
                <w:szCs w:val="24"/>
              </w:rPr>
              <w:t>（268）委托有资质单位进行定期检验，并将定期检验合格证置于特种设备显著位置</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12.1.3</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起重机械需定期保养，设置警示标识，安装防护设施</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（269）在用起重机械至少每月进行一次日常维护保养和自行检查，并作记录；</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（270）制定安全操作规程，并在周边醒目位置张贴警示标识，有必要的防护措施；（271）起重设备声光报警正常，室内起重设备应标有运行通道；</w:t>
            </w:r>
          </w:p>
          <w:p>
            <w:pPr>
              <w:widowControl/>
              <w:spacing w:line="300" w:lineRule="exact"/>
              <w:rPr>
                <w:rFonts w:hint="eastAsia" w:ascii="仿宋" w:hAnsi="仿宋" w:eastAsia="仿宋" w:cs="仿宋"/>
                <w:b/>
                <w:bCs/>
                <w:kern w:val="0"/>
                <w:sz w:val="24"/>
                <w:szCs w:val="24"/>
              </w:rPr>
            </w:pPr>
            <w:r>
              <w:rPr>
                <w:rFonts w:hint="eastAsia" w:ascii="仿宋" w:hAnsi="仿宋" w:eastAsia="仿宋" w:cs="仿宋"/>
                <w:kern w:val="0"/>
                <w:sz w:val="24"/>
                <w:szCs w:val="24"/>
              </w:rPr>
              <w:t>（272）废弃不用的起重机械应及时拆除</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12.2</w:t>
            </w:r>
          </w:p>
        </w:tc>
        <w:tc>
          <w:tcPr>
            <w:tcW w:w="14023" w:type="dxa"/>
            <w:gridSpan w:val="3"/>
            <w:tcMar>
              <w:left w:w="45" w:type="dxa"/>
              <w:right w:w="45" w:type="dxa"/>
            </w:tcMar>
            <w:vAlign w:val="center"/>
          </w:tcPr>
          <w:p>
            <w:pPr>
              <w:widowControl/>
              <w:spacing w:line="300" w:lineRule="exact"/>
              <w:rPr>
                <w:rFonts w:hint="eastAsia" w:ascii="仿宋" w:hAnsi="仿宋" w:eastAsia="仿宋" w:cs="仿宋"/>
                <w:bCs/>
                <w:kern w:val="0"/>
                <w:sz w:val="24"/>
                <w:szCs w:val="24"/>
              </w:rPr>
            </w:pPr>
            <w:r>
              <w:rPr>
                <w:rFonts w:hint="eastAsia" w:ascii="仿宋" w:hAnsi="仿宋" w:eastAsia="仿宋" w:cs="仿宋"/>
                <w:b/>
                <w:kern w:val="0"/>
                <w:sz w:val="24"/>
                <w:szCs w:val="24"/>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12.2.1</w:t>
            </w:r>
          </w:p>
        </w:tc>
        <w:tc>
          <w:tcPr>
            <w:tcW w:w="3820" w:type="dxa"/>
            <w:tcMar>
              <w:left w:w="45" w:type="dxa"/>
              <w:right w:w="45" w:type="dxa"/>
            </w:tcMar>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规定压力容器</w:t>
            </w:r>
            <w:r>
              <w:rPr>
                <w:rFonts w:hint="eastAsia" w:ascii="仿宋" w:hAnsi="仿宋" w:eastAsia="仿宋" w:cs="仿宋"/>
                <w:bCs/>
                <w:kern w:val="0"/>
                <w:sz w:val="24"/>
                <w:szCs w:val="24"/>
              </w:rPr>
              <w:t>须</w:t>
            </w:r>
            <w:r>
              <w:rPr>
                <w:rFonts w:hint="eastAsia" w:ascii="仿宋" w:hAnsi="仿宋" w:eastAsia="仿宋" w:cs="仿宋"/>
                <w:kern w:val="0"/>
                <w:sz w:val="24"/>
                <w:szCs w:val="24"/>
              </w:rPr>
              <w:t>取得《特种设备使用登记证》</w:t>
            </w:r>
          </w:p>
        </w:tc>
        <w:tc>
          <w:tcPr>
            <w:tcW w:w="8841" w:type="dxa"/>
            <w:tcMar>
              <w:left w:w="45" w:type="dxa"/>
              <w:right w:w="45" w:type="dxa"/>
            </w:tcMar>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273）最高工作压力大于或者等于0.1MPa（表压）的气体、液化气体和最高工作温度高于或者等于标准沸点的液体、容积大于或者等于30L且内直径（非圆形截面指截面内边界最大几何尺寸）大于或者等于150mm的固定式容器和移动式容器；盛装公称工作压力大于或者等于0.2MPa（表压），且压力与容积的乘积大于或者等于1.0MPa•L的气体、液化气体和标准沸点等于或者低于60℃液体的气瓶；氧舱等盛装气体或者液体，承载一定压力的密闭设备，</w:t>
            </w:r>
            <w:r>
              <w:rPr>
                <w:rFonts w:hint="eastAsia" w:ascii="仿宋" w:hAnsi="仿宋" w:eastAsia="仿宋" w:cs="仿宋"/>
                <w:bCs/>
                <w:kern w:val="0"/>
                <w:sz w:val="24"/>
                <w:szCs w:val="24"/>
              </w:rPr>
              <w:t>须</w:t>
            </w:r>
            <w:r>
              <w:rPr>
                <w:rFonts w:hint="eastAsia" w:ascii="仿宋" w:hAnsi="仿宋" w:eastAsia="仿宋" w:cs="仿宋"/>
                <w:kern w:val="0"/>
                <w:sz w:val="24"/>
                <w:szCs w:val="24"/>
              </w:rPr>
              <w:t>取得《特种设备使用登记证》；设备铭牌上标明为简单压力容器不需办理</w:t>
            </w:r>
          </w:p>
        </w:tc>
        <w:tc>
          <w:tcPr>
            <w:tcW w:w="1362" w:type="dxa"/>
            <w:tcMar>
              <w:left w:w="45" w:type="dxa"/>
              <w:right w:w="45" w:type="dxa"/>
            </w:tcMar>
            <w:vAlign w:val="center"/>
          </w:tcPr>
          <w:p>
            <w:pPr>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12.2.2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压力容器作业人员、检验单位须有相关资质</w:t>
            </w:r>
          </w:p>
        </w:tc>
        <w:tc>
          <w:tcPr>
            <w:tcW w:w="8841" w:type="dxa"/>
            <w:tcMar>
              <w:left w:w="45" w:type="dxa"/>
              <w:right w:w="45" w:type="dxa"/>
            </w:tcMar>
            <w:vAlign w:val="center"/>
          </w:tcPr>
          <w:p>
            <w:pPr>
              <w:widowControl/>
              <w:rPr>
                <w:rFonts w:hint="eastAsia" w:ascii="仿宋" w:hAnsi="仿宋" w:eastAsia="仿宋" w:cs="仿宋"/>
                <w:kern w:val="0"/>
                <w:sz w:val="24"/>
                <w:szCs w:val="24"/>
              </w:rPr>
            </w:pPr>
            <w:r>
              <w:rPr>
                <w:rFonts w:hint="eastAsia" w:ascii="仿宋" w:hAnsi="仿宋" w:eastAsia="仿宋" w:cs="仿宋"/>
                <w:kern w:val="0"/>
                <w:sz w:val="24"/>
                <w:szCs w:val="24"/>
              </w:rPr>
              <w:t>（274）快开门式压力容器操作人员、移动式压力容器充装人员、氧舱维护保养人员，取得《特种设备作业人员证》，持证上岗，并每4年复审一次；</w:t>
            </w:r>
          </w:p>
          <w:p>
            <w:pPr>
              <w:widowControl/>
              <w:rPr>
                <w:rFonts w:hint="eastAsia" w:ascii="仿宋" w:hAnsi="仿宋" w:eastAsia="仿宋" w:cs="仿宋"/>
                <w:kern w:val="0"/>
                <w:sz w:val="24"/>
                <w:szCs w:val="24"/>
              </w:rPr>
            </w:pPr>
            <w:r>
              <w:rPr>
                <w:rFonts w:hint="eastAsia" w:ascii="仿宋" w:hAnsi="仿宋" w:eastAsia="仿宋" w:cs="仿宋"/>
                <w:kern w:val="0"/>
                <w:sz w:val="24"/>
                <w:szCs w:val="24"/>
              </w:rPr>
              <w:t>（275）委托有资质单位进行定期检验，并将定期检验合格证置于特种设备显著位置；</w:t>
            </w:r>
          </w:p>
          <w:p>
            <w:pPr>
              <w:widowControl/>
              <w:rPr>
                <w:rFonts w:hint="eastAsia" w:ascii="仿宋" w:hAnsi="仿宋" w:eastAsia="仿宋" w:cs="仿宋"/>
                <w:kern w:val="0"/>
                <w:sz w:val="24"/>
                <w:szCs w:val="24"/>
              </w:rPr>
            </w:pPr>
            <w:r>
              <w:rPr>
                <w:rFonts w:hint="eastAsia" w:ascii="仿宋" w:hAnsi="仿宋" w:eastAsia="仿宋" w:cs="仿宋"/>
                <w:kern w:val="0"/>
                <w:sz w:val="24"/>
                <w:szCs w:val="24"/>
              </w:rPr>
              <w:t>（276）安全阀或压力表等附件需委托有资质单位定期校验或检定</w:t>
            </w:r>
          </w:p>
        </w:tc>
        <w:tc>
          <w:tcPr>
            <w:tcW w:w="1362" w:type="dxa"/>
            <w:tcMar>
              <w:left w:w="45" w:type="dxa"/>
              <w:right w:w="45" w:type="dxa"/>
            </w:tcMar>
            <w:vAlign w:val="center"/>
          </w:tcPr>
          <w:p>
            <w:pPr>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12.2.3</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压力容器的存放区域合理，有安全警示标识</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（277）大型实验气罐的存储场所应通风、干燥、防止雨（雪）淋、水浸，避免阳光直射，严禁明火和</w:t>
            </w:r>
            <w:r>
              <w:rPr>
                <w:rFonts w:hint="eastAsia" w:ascii="仿宋" w:hAnsi="仿宋" w:eastAsia="仿宋" w:cs="仿宋"/>
                <w:kern w:val="0"/>
                <w:sz w:val="24"/>
                <w:szCs w:val="24"/>
                <w:lang w:eastAsia="zh-CN"/>
              </w:rPr>
              <w:t>其他</w:t>
            </w:r>
            <w:r>
              <w:rPr>
                <w:rFonts w:hint="eastAsia" w:ascii="仿宋" w:hAnsi="仿宋" w:eastAsia="仿宋" w:cs="仿宋"/>
                <w:kern w:val="0"/>
                <w:sz w:val="24"/>
                <w:szCs w:val="24"/>
              </w:rPr>
              <w:t>热源；</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（278）大型实验气体（窒息、可燃类）罐必须放置在室外，周围设置隔离装置、安全警示标识；</w:t>
            </w:r>
          </w:p>
          <w:p>
            <w:pPr>
              <w:widowControl/>
              <w:spacing w:line="300" w:lineRule="exact"/>
              <w:rPr>
                <w:rFonts w:hint="eastAsia" w:ascii="仿宋" w:hAnsi="仿宋" w:eastAsia="仿宋" w:cs="仿宋"/>
                <w:bCs/>
                <w:kern w:val="0"/>
                <w:sz w:val="24"/>
                <w:szCs w:val="24"/>
              </w:rPr>
            </w:pPr>
            <w:r>
              <w:rPr>
                <w:rFonts w:hint="eastAsia" w:ascii="仿宋" w:hAnsi="仿宋" w:eastAsia="仿宋" w:cs="仿宋"/>
                <w:kern w:val="0"/>
                <w:sz w:val="24"/>
                <w:szCs w:val="24"/>
              </w:rPr>
              <w:t>（279）可燃性气罐要远离火源热源</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12.2.4</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存储可燃、爆炸性气体的气罐满足防爆要求</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（280）容器的电器开关和熔断器都应设置在明显位置，同时应设避雷装置；</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（281）电气设施应防爆，避雷装置接地良好</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12.2.5</w:t>
            </w:r>
          </w:p>
        </w:tc>
        <w:tc>
          <w:tcPr>
            <w:tcW w:w="3820" w:type="dxa"/>
            <w:tcMar>
              <w:left w:w="45" w:type="dxa"/>
              <w:right w:w="45" w:type="dxa"/>
            </w:tcMar>
            <w:vAlign w:val="center"/>
          </w:tcPr>
          <w:p>
            <w:pPr>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压力容器应有专用管理制度和操作规程，实行使用登记</w:t>
            </w:r>
          </w:p>
        </w:tc>
        <w:tc>
          <w:tcPr>
            <w:tcW w:w="8841" w:type="dxa"/>
            <w:tcMar>
              <w:left w:w="45" w:type="dxa"/>
              <w:right w:w="45" w:type="dxa"/>
            </w:tcMar>
            <w:vAlign w:val="center"/>
          </w:tcPr>
          <w:p>
            <w:pPr>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（282）制定大型气罐管理制度和操作规程，定期检查大型实验气罐外观及附件是否完好，落实维护、保养及安全责任制；</w:t>
            </w:r>
          </w:p>
          <w:p>
            <w:pPr>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（283）实行使用登记制度，及时填写使用登记表</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12.3</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12.3.1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场（厂）内专用机动车辆须取得《特种设备使用登记证》</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（284）除道路交通、农用车辆以外仅在工厂厂区、旅游景区、游乐场所等特定区域使用的专用机动车辆须取得《特种设备使用登记证》</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12.3.2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作业人员取得《特种设备作业人员证》，持证上岗</w:t>
            </w:r>
          </w:p>
        </w:tc>
        <w:tc>
          <w:tcPr>
            <w:tcW w:w="8841" w:type="dxa"/>
            <w:tcMar>
              <w:left w:w="45" w:type="dxa"/>
              <w:right w:w="45" w:type="dxa"/>
            </w:tcMar>
            <w:vAlign w:val="center"/>
          </w:tcPr>
          <w:p>
            <w:pPr>
              <w:rPr>
                <w:rFonts w:hint="eastAsia" w:ascii="仿宋" w:hAnsi="仿宋" w:eastAsia="仿宋" w:cs="仿宋"/>
                <w:b/>
                <w:bCs/>
                <w:kern w:val="0"/>
                <w:sz w:val="24"/>
                <w:szCs w:val="24"/>
              </w:rPr>
            </w:pPr>
            <w:r>
              <w:rPr>
                <w:rFonts w:hint="eastAsia" w:ascii="仿宋" w:hAnsi="仿宋" w:eastAsia="仿宋" w:cs="仿宋"/>
                <w:kern w:val="0"/>
                <w:sz w:val="24"/>
                <w:szCs w:val="24"/>
              </w:rPr>
              <w:t>（285）作业人员的《特种设备作业人员证》在有效期内</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12.3.3</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委托有资质单位进行定期检验</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（286）合格证在有效期内</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12.4</w:t>
            </w:r>
          </w:p>
        </w:tc>
        <w:tc>
          <w:tcPr>
            <w:tcW w:w="14023" w:type="dxa"/>
            <w:gridSpan w:val="3"/>
            <w:tcMar>
              <w:left w:w="45" w:type="dxa"/>
              <w:right w:w="45" w:type="dxa"/>
            </w:tcMar>
            <w:vAlign w:val="center"/>
          </w:tcPr>
          <w:p>
            <w:pPr>
              <w:widowControl/>
              <w:spacing w:line="300" w:lineRule="exact"/>
              <w:rPr>
                <w:rFonts w:hint="eastAsia" w:ascii="仿宋" w:hAnsi="仿宋" w:eastAsia="仿宋" w:cs="仿宋"/>
                <w:b/>
                <w:kern w:val="0"/>
                <w:sz w:val="24"/>
                <w:szCs w:val="24"/>
              </w:rPr>
            </w:pPr>
            <w:r>
              <w:rPr>
                <w:rFonts w:hint="eastAsia" w:ascii="仿宋" w:hAnsi="仿宋" w:eastAsia="仿宋" w:cs="仿宋"/>
                <w:b/>
                <w:kern w:val="0"/>
                <w:sz w:val="24"/>
                <w:szCs w:val="24"/>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12.4.1</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贮存危险化学品的冰箱满足防爆要求</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（287）贮存危险化学品的冰箱应为防爆冰箱或经过防爆改造的冰箱，并在冰箱门上注明是否防爆</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12.4.2</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冰箱内存放的物品须标识明确，试剂必须可靠密封</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（288）标识至少包括：名称、使用人、日期等，并经常清理；</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（289）实验室冰箱中试剂瓶螺口拧紧，无开口容器，不得放置非实验用食品、药品。超低温冰箱门上有储物分区标识，置于走廊等区域的超低温冰箱须上锁</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12.4.3</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冰箱、烘箱、电阻炉的使用满足使用期间和空间等要求</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（290）冰箱不超期使用（一般使用期限控制为10年），如超期使用需经审批；</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（291）冰箱周围留出足够空间，周围不堆放杂物，不影响散热；</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（292）烘箱、电阻炉不超期使用（一般使用期限控制为12年），如超期使用需经审批；</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（293）加热设备应放置在通风干燥处，不直接放置在木桌、木板等易燃物品上，周围有一定的散热空间，设备旁不能放置易燃易爆化学品、气体钢瓶、冰箱、杂物等，应远离配电箱、插座、接线板等设备</w:t>
            </w:r>
          </w:p>
        </w:tc>
        <w:tc>
          <w:tcPr>
            <w:tcW w:w="1362" w:type="dxa"/>
            <w:tcMar>
              <w:left w:w="45" w:type="dxa"/>
              <w:right w:w="45" w:type="dxa"/>
            </w:tcMar>
            <w:vAlign w:val="center"/>
          </w:tcPr>
          <w:p>
            <w:pPr>
              <w:widowControl/>
              <w:spacing w:line="300" w:lineRule="exac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12.4.4</w:t>
            </w:r>
          </w:p>
        </w:tc>
        <w:tc>
          <w:tcPr>
            <w:tcW w:w="3820"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烘箱、电阻炉等加热设备须制定安全操作规程</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（294）加热设备周边醒目位置张贴有高温警示标识，并有必要的防护措施，张贴有安全操作规程、警示标识；</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（295）烘箱等加热设备内不准烘烤易燃易爆试剂及易燃物品；</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（296）不得使用塑料筐等易燃容器盛放实验物品在烘箱等加热设备内烘烤；</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（297）使用烘箱完毕，清理物品、切断电源，确认其冷却至安全温度后方能离开；（298）使用电阻炉等明火设备时有人值守；</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（299）使用加热设备时，温度较高的实验需有人值守或有实时监控措施</w:t>
            </w:r>
          </w:p>
        </w:tc>
        <w:tc>
          <w:tcPr>
            <w:tcW w:w="1362" w:type="dxa"/>
            <w:tcMar>
              <w:left w:w="45" w:type="dxa"/>
              <w:right w:w="45" w:type="dxa"/>
            </w:tcMar>
            <w:vAlign w:val="center"/>
          </w:tcPr>
          <w:p>
            <w:pPr>
              <w:widowControl/>
              <w:spacing w:line="300" w:lineRule="exact"/>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12.4.5</w:t>
            </w:r>
          </w:p>
        </w:tc>
        <w:tc>
          <w:tcPr>
            <w:tcW w:w="3820" w:type="dxa"/>
            <w:tcMar>
              <w:left w:w="45" w:type="dxa"/>
              <w:right w:w="45" w:type="dxa"/>
            </w:tcMar>
            <w:vAlign w:val="center"/>
          </w:tcPr>
          <w:p>
            <w:pPr>
              <w:widowControl/>
              <w:spacing w:line="300" w:lineRule="exact"/>
              <w:rPr>
                <w:rFonts w:hint="eastAsia" w:ascii="仿宋" w:hAnsi="仿宋" w:eastAsia="仿宋" w:cs="仿宋"/>
                <w:sz w:val="24"/>
                <w:szCs w:val="24"/>
              </w:rPr>
            </w:pPr>
            <w:r>
              <w:rPr>
                <w:rFonts w:hint="eastAsia" w:ascii="仿宋" w:hAnsi="仿宋" w:eastAsia="仿宋" w:cs="仿宋"/>
                <w:kern w:val="0"/>
                <w:sz w:val="24"/>
                <w:szCs w:val="24"/>
              </w:rPr>
              <w:t>使用明火电炉或者电吹风须有安全防范举措</w:t>
            </w:r>
          </w:p>
        </w:tc>
        <w:tc>
          <w:tcPr>
            <w:tcW w:w="8841" w:type="dxa"/>
            <w:tcMar>
              <w:left w:w="45" w:type="dxa"/>
              <w:right w:w="45" w:type="dxa"/>
            </w:tcMar>
            <w:vAlign w:val="center"/>
          </w:tcPr>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（300）涉及化学品的实验室不使用明火电炉。如必须使用，须有安全防范措施；</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（301）不使用明火电炉加热易燃易爆试剂；</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（302）明火电炉、电吹风、电热枪等用毕，须及时拔除电源插头；</w:t>
            </w:r>
          </w:p>
          <w:p>
            <w:pPr>
              <w:widowControl/>
              <w:spacing w:line="300" w:lineRule="exact"/>
              <w:rPr>
                <w:rFonts w:hint="eastAsia" w:ascii="仿宋" w:hAnsi="仿宋" w:eastAsia="仿宋" w:cs="仿宋"/>
                <w:kern w:val="0"/>
                <w:sz w:val="24"/>
                <w:szCs w:val="24"/>
              </w:rPr>
            </w:pPr>
            <w:r>
              <w:rPr>
                <w:rFonts w:hint="eastAsia" w:ascii="仿宋" w:hAnsi="仿宋" w:eastAsia="仿宋" w:cs="仿宋"/>
                <w:kern w:val="0"/>
                <w:sz w:val="24"/>
                <w:szCs w:val="24"/>
              </w:rPr>
              <w:t>（303）不可用纸质、木质等材料自制红外灯烘箱</w:t>
            </w:r>
          </w:p>
        </w:tc>
        <w:tc>
          <w:tcPr>
            <w:tcW w:w="1362" w:type="dxa"/>
            <w:tcMar>
              <w:left w:w="45" w:type="dxa"/>
              <w:right w:w="45" w:type="dxa"/>
            </w:tcMar>
            <w:vAlign w:val="center"/>
          </w:tcPr>
          <w:p>
            <w:pPr>
              <w:widowControl/>
              <w:spacing w:line="300" w:lineRule="exact"/>
              <w:rPr>
                <w:rFonts w:hint="eastAsia" w:ascii="仿宋" w:hAnsi="仿宋" w:eastAsia="仿宋" w:cs="仿宋"/>
                <w:kern w:val="0"/>
                <w:sz w:val="24"/>
                <w:szCs w:val="24"/>
              </w:rPr>
            </w:pPr>
          </w:p>
        </w:tc>
      </w:tr>
    </w:tbl>
    <w:p>
      <w:pPr>
        <w:adjustRightInd w:val="0"/>
        <w:snapToGrid w:val="0"/>
        <w:spacing w:before="156" w:beforeLines="50"/>
        <w:rPr>
          <w:rFonts w:hint="eastAsia" w:ascii="仿宋" w:hAnsi="仿宋" w:eastAsia="仿宋" w:cs="仿宋"/>
          <w:color w:val="000000" w:themeColor="text1"/>
          <w:sz w:val="24"/>
          <w:szCs w:val="24"/>
          <w14:textFill>
            <w14:solidFill>
              <w14:schemeClr w14:val="tx1"/>
            </w14:solidFill>
          </w14:textFill>
        </w:rPr>
      </w:pPr>
      <w:bookmarkStart w:id="3" w:name="_GoBack"/>
      <w:bookmarkEnd w:id="3"/>
    </w:p>
    <w:sectPr>
      <w:footerReference r:id="rId3" w:type="default"/>
      <w:pgSz w:w="16838" w:h="11906" w:orient="landscape"/>
      <w:pgMar w:top="1077" w:right="1418"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15</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055115"/>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33CE6340"/>
    <w:rsid w:val="35BD25C7"/>
    <w:rsid w:val="36576957"/>
    <w:rsid w:val="37672FB0"/>
    <w:rsid w:val="381C5B0D"/>
    <w:rsid w:val="3A891042"/>
    <w:rsid w:val="3A8F55CD"/>
    <w:rsid w:val="3B537E3D"/>
    <w:rsid w:val="3D3245CF"/>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2F2D3-0592-4439-BB82-0F06015E511F}">
  <ds:schemaRefs/>
</ds:datastoreItem>
</file>

<file path=docProps/app.xml><?xml version="1.0" encoding="utf-8"?>
<Properties xmlns="http://schemas.openxmlformats.org/officeDocument/2006/extended-properties" xmlns:vt="http://schemas.openxmlformats.org/officeDocument/2006/docPropsVTypes">
  <Template>Normal</Template>
  <Company>sdu</Company>
  <Pages>23</Pages>
  <Words>16124</Words>
  <Characters>17674</Characters>
  <Lines>133</Lines>
  <Paragraphs>37</Paragraphs>
  <TotalTime>28</TotalTime>
  <ScaleCrop>false</ScaleCrop>
  <LinksUpToDate>false</LinksUpToDate>
  <CharactersWithSpaces>17700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2022-03-02T03:26:00Z</dcterms:created>
  <dc:creator>LIU</dc:creator>
  <cp:lastModifiedBy>李伟</cp:lastModifiedBy>
  <cp:lastPrinted>2022-03-02T01:18:00Z</cp:lastPrinted>
  <dcterms:modified xsi:type="dcterms:W3CDTF">2022-05-09T03:09:54Z</dcterms:modified>
  <dc:titl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AC2FF73244C8461EA3B63F1DD52E6C95</vt:lpwstr>
  </property>
</Properties>
</file>